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25.08.2014 N 1070</w:t>
              <w:br/>
              <w:t xml:space="preserve">"Об утверждении федерального государственного образовательного стандарта высшего образования по специальности 31.08.28 Гастроэнтерология (уровень подготовки кадров высшей квалификации)"</w:t>
              <w:br/>
              <w:t xml:space="preserve">(Зарегистрировано в Минюсте России 18.09.2014 N 34090)</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28.04.2025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18 сентября 2014 г. N 34090</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ОБРАЗОВАНИЯ И НАУКИ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25 августа 2014 г. N 1070</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ВЫСШЕГО ОБРАЗОВАНИЯ ПО СПЕЦИАЛЬНОСТИ 31.08.28</w:t>
      </w:r>
    </w:p>
    <w:p>
      <w:pPr>
        <w:pStyle w:val="2"/>
        <w:jc w:val="center"/>
      </w:pPr>
      <w:r>
        <w:rPr>
          <w:sz w:val="24"/>
        </w:rPr>
        <w:t xml:space="preserve">ГАСТРОЭНТЕРОЛОГИЯ (УРОВЕНЬ ПОДГОТОВКИ КАДРОВ</w:t>
      </w:r>
    </w:p>
    <w:p>
      <w:pPr>
        <w:pStyle w:val="2"/>
        <w:jc w:val="center"/>
      </w:pPr>
      <w:r>
        <w:rPr>
          <w:sz w:val="24"/>
        </w:rPr>
        <w:t xml:space="preserve">ВЫСШЕЙ КВАЛИФИКАЦИИ)</w:t>
      </w:r>
    </w:p>
    <w:p>
      <w:pPr>
        <w:pStyle w:val="0"/>
        <w:jc w:val="both"/>
      </w:pPr>
      <w:r>
        <w:rPr>
          <w:sz w:val="24"/>
        </w:rPr>
      </w:r>
    </w:p>
    <w:p>
      <w:pPr>
        <w:pStyle w:val="0"/>
        <w:ind w:firstLine="540"/>
        <w:jc w:val="both"/>
      </w:pPr>
      <w:r>
        <w:rPr>
          <w:sz w:val="24"/>
        </w:rPr>
        <w:t xml:space="preserve">В соответствии с </w:t>
      </w:r>
      <w:r>
        <w:rPr>
          <w:sz w:val="24"/>
        </w:rPr>
        <w:t xml:space="preserve">подпунктом 5.2.42</w:t>
      </w:r>
      <w:r>
        <w:rPr>
          <w:sz w:val="24"/>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и </w:t>
      </w:r>
      <w:hyperlink w:history="0" r:id="rId7"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sz w:val="24"/>
            <w:color w:val="0000ff"/>
          </w:rPr>
          <w:t xml:space="preserve">пунктом 17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приказываю:</w:t>
      </w:r>
    </w:p>
    <w:p>
      <w:pPr>
        <w:pStyle w:val="0"/>
        <w:spacing w:before="240" w:line-rule="auto"/>
        <w:ind w:firstLine="540"/>
        <w:jc w:val="both"/>
      </w:pPr>
      <w:r>
        <w:rPr>
          <w:sz w:val="24"/>
        </w:rPr>
        <w:t xml:space="preserve">Утвердить прилагаемый федеральный государственный образовательный </w:t>
      </w:r>
      <w:hyperlink w:history="0" w:anchor="P32" w:tooltip="ФЕДЕРАЛЬНЫЙ ГОСУДАРСТВЕННЫЙ ОБРАЗОВАТЕЛЬНЫЙ СТАНДАРТ">
        <w:r>
          <w:rPr>
            <w:sz w:val="24"/>
            <w:color w:val="0000ff"/>
          </w:rPr>
          <w:t xml:space="preserve">стандарт</w:t>
        </w:r>
      </w:hyperlink>
      <w:r>
        <w:rPr>
          <w:sz w:val="24"/>
        </w:rPr>
        <w:t xml:space="preserve"> высшего образования по специальности 31.08.28 Гастроэнтерология (уровень подготовки кадров высшей квалификации).</w:t>
      </w:r>
    </w:p>
    <w:p>
      <w:pPr>
        <w:pStyle w:val="0"/>
        <w:jc w:val="both"/>
      </w:pPr>
      <w:r>
        <w:rPr>
          <w:sz w:val="24"/>
        </w:rPr>
      </w:r>
    </w:p>
    <w:p>
      <w:pPr>
        <w:pStyle w:val="0"/>
        <w:jc w:val="right"/>
      </w:pPr>
      <w:r>
        <w:rPr>
          <w:sz w:val="24"/>
        </w:rPr>
        <w:t xml:space="preserve">Министр</w:t>
      </w:r>
    </w:p>
    <w:p>
      <w:pPr>
        <w:pStyle w:val="0"/>
        <w:jc w:val="right"/>
      </w:pPr>
      <w:r>
        <w:rPr>
          <w:sz w:val="24"/>
        </w:rPr>
        <w:t xml:space="preserve">Д.В.ЛИВАНОВ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p>
      <w:pPr>
        <w:pStyle w:val="0"/>
        <w:jc w:val="right"/>
      </w:pPr>
      <w:r>
        <w:rPr>
          <w:sz w:val="24"/>
        </w:rPr>
        <w:t xml:space="preserve">Утвержден</w:t>
      </w:r>
    </w:p>
    <w:p>
      <w:pPr>
        <w:pStyle w:val="0"/>
        <w:jc w:val="right"/>
      </w:pPr>
      <w:r>
        <w:rPr>
          <w:sz w:val="24"/>
        </w:rPr>
        <w:t xml:space="preserve">приказом Министерства образования</w:t>
      </w:r>
    </w:p>
    <w:p>
      <w:pPr>
        <w:pStyle w:val="0"/>
        <w:jc w:val="right"/>
      </w:pPr>
      <w:r>
        <w:rPr>
          <w:sz w:val="24"/>
        </w:rPr>
        <w:t xml:space="preserve">и науки Российской Федерации</w:t>
      </w:r>
    </w:p>
    <w:p>
      <w:pPr>
        <w:pStyle w:val="0"/>
        <w:jc w:val="right"/>
      </w:pPr>
      <w:r>
        <w:rPr>
          <w:sz w:val="24"/>
        </w:rPr>
        <w:t xml:space="preserve">от 25 августа 2014 г. N 1070</w:t>
      </w:r>
    </w:p>
    <w:p>
      <w:pPr>
        <w:pStyle w:val="0"/>
        <w:jc w:val="both"/>
      </w:pPr>
      <w:r>
        <w:rPr>
          <w:sz w:val="24"/>
        </w:rPr>
      </w:r>
    </w:p>
    <w:bookmarkStart w:id="32" w:name="P32"/>
    <w:bookmarkEnd w:id="32"/>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ВЫСШЕГО ОБРАЗОВАНИЯ</w:t>
      </w:r>
    </w:p>
    <w:p>
      <w:pPr>
        <w:pStyle w:val="2"/>
        <w:jc w:val="center"/>
      </w:pPr>
      <w:r>
        <w:rPr>
          <w:sz w:val="24"/>
        </w:rPr>
      </w:r>
    </w:p>
    <w:p>
      <w:pPr>
        <w:pStyle w:val="2"/>
        <w:jc w:val="center"/>
      </w:pPr>
      <w:r>
        <w:rPr>
          <w:sz w:val="24"/>
        </w:rPr>
        <w:t xml:space="preserve">УРОВЕНЬ ВЫСШЕГО ОБРАЗОВАНИЯ</w:t>
      </w:r>
    </w:p>
    <w:p>
      <w:pPr>
        <w:pStyle w:val="2"/>
        <w:jc w:val="center"/>
      </w:pPr>
      <w:r>
        <w:rPr>
          <w:sz w:val="24"/>
        </w:rPr>
        <w:t xml:space="preserve">ПОДГОТОВКА КАДРОВ ВЫСШЕЙ КВАЛИФИКАЦИИ</w:t>
      </w:r>
    </w:p>
    <w:p>
      <w:pPr>
        <w:pStyle w:val="2"/>
        <w:jc w:val="center"/>
      </w:pPr>
      <w:r>
        <w:rPr>
          <w:sz w:val="24"/>
        </w:rPr>
      </w:r>
    </w:p>
    <w:p>
      <w:pPr>
        <w:pStyle w:val="2"/>
        <w:jc w:val="center"/>
      </w:pPr>
      <w:r>
        <w:rPr>
          <w:sz w:val="24"/>
        </w:rPr>
        <w:t xml:space="preserve">СПЕЦИАЛЬНОСТЬ</w:t>
      </w:r>
    </w:p>
    <w:p>
      <w:pPr>
        <w:pStyle w:val="2"/>
        <w:jc w:val="center"/>
      </w:pPr>
      <w:r>
        <w:rPr>
          <w:sz w:val="24"/>
        </w:rPr>
        <w:t xml:space="preserve">31.08.28 ГАСТРОЭНТЕРОЛОГИЯ</w:t>
      </w:r>
    </w:p>
    <w:p>
      <w:pPr>
        <w:pStyle w:val="0"/>
        <w:jc w:val="both"/>
      </w:pPr>
      <w:r>
        <w:rPr>
          <w:sz w:val="24"/>
        </w:rPr>
      </w:r>
    </w:p>
    <w:p>
      <w:pPr>
        <w:pStyle w:val="0"/>
        <w:outlineLvl w:val="1"/>
        <w:jc w:val="center"/>
      </w:pPr>
      <w:r>
        <w:rPr>
          <w:sz w:val="24"/>
        </w:rPr>
        <w:t xml:space="preserve">I. ОБЛАСТЬ ПРИМЕНЕНИЯ</w:t>
      </w:r>
    </w:p>
    <w:p>
      <w:pPr>
        <w:pStyle w:val="0"/>
        <w:jc w:val="both"/>
      </w:pPr>
      <w:r>
        <w:rPr>
          <w:sz w:val="24"/>
        </w:rPr>
      </w:r>
    </w:p>
    <w:p>
      <w:pPr>
        <w:pStyle w:val="0"/>
        <w:ind w:firstLine="540"/>
        <w:jc w:val="both"/>
      </w:pPr>
      <w:r>
        <w:rPr>
          <w:sz w:val="24"/>
        </w:rPr>
        <w:t xml:space="preserve">Настоящий федеральный государственный образовательный стандарт высшего образования представляет собой совокупность требований, обязательных при реализации основных профессиональных образовательных программ высшего образования - программ подготовки кадров высшей квалификации в ординатуре по специальности 31.08.28 Гастроэнтерология (далее соответственно - программа ординатуры, специальность).</w:t>
      </w:r>
    </w:p>
    <w:p>
      <w:pPr>
        <w:pStyle w:val="0"/>
        <w:jc w:val="both"/>
      </w:pPr>
      <w:r>
        <w:rPr>
          <w:sz w:val="24"/>
        </w:rPr>
      </w:r>
    </w:p>
    <w:p>
      <w:pPr>
        <w:pStyle w:val="0"/>
        <w:outlineLvl w:val="1"/>
        <w:jc w:val="center"/>
      </w:pPr>
      <w:r>
        <w:rPr>
          <w:sz w:val="24"/>
        </w:rPr>
        <w:t xml:space="preserve">II. ИСПОЛЬЗУЕМЫЕ СОКРАЩЕНИЯ</w:t>
      </w:r>
    </w:p>
    <w:p>
      <w:pPr>
        <w:pStyle w:val="0"/>
        <w:jc w:val="both"/>
      </w:pPr>
      <w:r>
        <w:rPr>
          <w:sz w:val="24"/>
        </w:rPr>
      </w:r>
    </w:p>
    <w:p>
      <w:pPr>
        <w:pStyle w:val="0"/>
        <w:ind w:firstLine="540"/>
        <w:jc w:val="both"/>
      </w:pPr>
      <w:r>
        <w:rPr>
          <w:sz w:val="24"/>
        </w:rPr>
        <w:t xml:space="preserve">В настоящем федеральном государственном образовательном стандарте используются следующие сокращения:</w:t>
      </w:r>
    </w:p>
    <w:p>
      <w:pPr>
        <w:pStyle w:val="0"/>
        <w:spacing w:before="240" w:line-rule="auto"/>
        <w:ind w:firstLine="540"/>
        <w:jc w:val="both"/>
      </w:pPr>
      <w:r>
        <w:rPr>
          <w:sz w:val="24"/>
        </w:rPr>
        <w:t xml:space="preserve">УК - универсальные компетенции;</w:t>
      </w:r>
    </w:p>
    <w:p>
      <w:pPr>
        <w:pStyle w:val="0"/>
        <w:spacing w:before="240" w:line-rule="auto"/>
        <w:ind w:firstLine="540"/>
        <w:jc w:val="both"/>
      </w:pPr>
      <w:r>
        <w:rPr>
          <w:sz w:val="24"/>
        </w:rPr>
        <w:t xml:space="preserve">ПК - профессиональные компетенции;</w:t>
      </w:r>
    </w:p>
    <w:p>
      <w:pPr>
        <w:pStyle w:val="0"/>
        <w:spacing w:before="240" w:line-rule="auto"/>
        <w:ind w:firstLine="540"/>
        <w:jc w:val="both"/>
      </w:pPr>
      <w:r>
        <w:rPr>
          <w:sz w:val="24"/>
        </w:rPr>
        <w:t xml:space="preserve">ФГОС ВО - федеральный государственный образовательный стандарт высшего образования;</w:t>
      </w:r>
    </w:p>
    <w:p>
      <w:pPr>
        <w:pStyle w:val="0"/>
        <w:spacing w:before="240" w:line-rule="auto"/>
        <w:ind w:firstLine="540"/>
        <w:jc w:val="both"/>
      </w:pPr>
      <w:r>
        <w:rPr>
          <w:sz w:val="24"/>
        </w:rPr>
        <w:t xml:space="preserve">сетевая форма - сетевая форма реализации образовательных программ.</w:t>
      </w:r>
    </w:p>
    <w:p>
      <w:pPr>
        <w:pStyle w:val="0"/>
        <w:jc w:val="both"/>
      </w:pPr>
      <w:r>
        <w:rPr>
          <w:sz w:val="24"/>
        </w:rPr>
      </w:r>
    </w:p>
    <w:p>
      <w:pPr>
        <w:pStyle w:val="0"/>
        <w:outlineLvl w:val="1"/>
        <w:jc w:val="center"/>
      </w:pPr>
      <w:r>
        <w:rPr>
          <w:sz w:val="24"/>
        </w:rPr>
        <w:t xml:space="preserve">III. ХАРАКТЕРИСТИКА СПЕЦИАЛЬНОСТИ</w:t>
      </w:r>
    </w:p>
    <w:p>
      <w:pPr>
        <w:pStyle w:val="0"/>
        <w:jc w:val="both"/>
      </w:pPr>
      <w:r>
        <w:rPr>
          <w:sz w:val="24"/>
        </w:rPr>
      </w:r>
    </w:p>
    <w:p>
      <w:pPr>
        <w:pStyle w:val="0"/>
        <w:ind w:firstLine="540"/>
        <w:jc w:val="both"/>
      </w:pPr>
      <w:r>
        <w:rPr>
          <w:sz w:val="24"/>
        </w:rPr>
        <w:t xml:space="preserve">3.1. Получение образования по программе ординатуры допускается только в организациях, осуществляющих образовательную деятельность (далее - организация).</w:t>
      </w:r>
    </w:p>
    <w:p>
      <w:pPr>
        <w:pStyle w:val="0"/>
        <w:spacing w:before="240" w:line-rule="auto"/>
        <w:ind w:firstLine="540"/>
        <w:jc w:val="both"/>
      </w:pPr>
      <w:r>
        <w:rPr>
          <w:sz w:val="24"/>
        </w:rPr>
        <w:t xml:space="preserve">3.2. Обучение по программе ординатуры в организациях осуществляется в очной форме обучения.</w:t>
      </w:r>
    </w:p>
    <w:p>
      <w:pPr>
        <w:pStyle w:val="0"/>
        <w:spacing w:before="240" w:line-rule="auto"/>
        <w:ind w:firstLine="540"/>
        <w:jc w:val="both"/>
      </w:pPr>
      <w:r>
        <w:rPr>
          <w:sz w:val="24"/>
        </w:rPr>
        <w:t xml:space="preserve">Объем программы ординатуры составляет 120 зачетных единиц (далее - з.е.) вне зависимости от применяемых образовательных технологий, реализации программы ординатуры с использованием сетевой формы, реализации программы ординатуры по индивидуальному учебному плану, в том числе ускоренному обучению.</w:t>
      </w:r>
    </w:p>
    <w:p>
      <w:pPr>
        <w:pStyle w:val="0"/>
        <w:spacing w:before="240" w:line-rule="auto"/>
        <w:ind w:firstLine="540"/>
        <w:jc w:val="both"/>
      </w:pPr>
      <w:r>
        <w:rPr>
          <w:sz w:val="24"/>
        </w:rPr>
        <w:t xml:space="preserve">3.3. Срок получения образования по программе ординатуры:</w:t>
      </w:r>
    </w:p>
    <w:p>
      <w:pPr>
        <w:pStyle w:val="0"/>
        <w:spacing w:before="240" w:line-rule="auto"/>
        <w:ind w:firstLine="540"/>
        <w:jc w:val="both"/>
      </w:pPr>
      <w:r>
        <w:rPr>
          <w:sz w:val="24"/>
        </w:rPr>
        <w:t xml:space="preserve">в очной форме, включая каникулы, предоставляемые после прохождения государственной итоговой аттестации, вне зависимости от применяемых образовательных технологий, составляет 2 года. Объем программы ординатуры в очной форме обучения, реализуемый за один учебный год, составляет 60 з.е.;</w:t>
      </w:r>
    </w:p>
    <w:p>
      <w:pPr>
        <w:pStyle w:val="0"/>
        <w:spacing w:before="240" w:line-rule="auto"/>
        <w:ind w:firstLine="540"/>
        <w:jc w:val="both"/>
      </w:pPr>
      <w:r>
        <w:rPr>
          <w:sz w:val="24"/>
        </w:rPr>
        <w:t xml:space="preserve">при обучении по индивидуальному учебному плану срок устанавливается организацией самостоятельно, но не более срока получения образования, установленного для соответствующей формы обучения, при обучении по индивидуальному учебному плану лиц с ограниченными возможностями здоровья организация вправе продлить срок не более чем на один год по сравнению со сроком, установленным для соответствующей формы обучения. Объем программы ординатуры за один учебный год при обучении по индивидуальному учебному плану не может составлять более 75 з.е.</w:t>
      </w:r>
    </w:p>
    <w:p>
      <w:pPr>
        <w:pStyle w:val="0"/>
        <w:spacing w:before="240" w:line-rule="auto"/>
        <w:ind w:firstLine="540"/>
        <w:jc w:val="both"/>
      </w:pPr>
      <w:r>
        <w:rPr>
          <w:sz w:val="24"/>
        </w:rPr>
        <w:t xml:space="preserve">3.4. Организация вправе применять электронное обучение и дистанционные образовательные технологии при реализации программы ординатуры, за исключением практической подготовки обучающихся, осуществляемой в соответствии с </w:t>
      </w:r>
      <w:hyperlink w:history="0" r:id="rId8" w:tooltip="Приказ Минздрава России от 03.09.2013 N 620н &quot;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quot; (Зарегистрировано в Минюсте России 01.11.2013 N 30304) {КонсультантПлюс}">
        <w:r>
          <w:rPr>
            <w:sz w:val="24"/>
            <w:color w:val="0000ff"/>
          </w:rPr>
          <w:t xml:space="preserve">Порядком</w:t>
        </w:r>
      </w:hyperlink>
      <w:r>
        <w:rPr>
          <w:sz w:val="24"/>
        </w:rP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утвержденным приказом Министерства здравоохранения Российской Федерации от 3 сентября 2013 г. N 620н (зарегистрирован Министерством юстиции Российской Федерации 1 ноября 2013 г., регистрационный N 30304), а также государственной итоговой аттестации.</w:t>
      </w:r>
    </w:p>
    <w:p>
      <w:pPr>
        <w:pStyle w:val="0"/>
        <w:spacing w:before="240" w:line-rule="auto"/>
        <w:ind w:firstLine="540"/>
        <w:jc w:val="both"/>
      </w:pPr>
      <w:r>
        <w:rPr>
          <w:sz w:val="24"/>
        </w:rPr>
        <w:t xml:space="preserve">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pPr>
        <w:pStyle w:val="0"/>
        <w:spacing w:before="240" w:line-rule="auto"/>
        <w:ind w:firstLine="540"/>
        <w:jc w:val="both"/>
      </w:pPr>
      <w:r>
        <w:rPr>
          <w:sz w:val="24"/>
        </w:rPr>
        <w:t xml:space="preserve">3.5. Реализация программы ординатуры возможна с использованием сетевой формы.</w:t>
      </w:r>
    </w:p>
    <w:p>
      <w:pPr>
        <w:pStyle w:val="0"/>
        <w:spacing w:before="240" w:line-rule="auto"/>
        <w:ind w:firstLine="540"/>
        <w:jc w:val="both"/>
      </w:pPr>
      <w:r>
        <w:rPr>
          <w:sz w:val="24"/>
        </w:rPr>
        <w:t xml:space="preserve">3.6. Образовательная деятельность по программе ординатуры осуществляется на государственном языке Российской Федерации, если иное не определено локальным нормативным актом организации.</w:t>
      </w:r>
    </w:p>
    <w:p>
      <w:pPr>
        <w:pStyle w:val="0"/>
        <w:jc w:val="both"/>
      </w:pPr>
      <w:r>
        <w:rPr>
          <w:sz w:val="24"/>
        </w:rPr>
      </w:r>
    </w:p>
    <w:p>
      <w:pPr>
        <w:pStyle w:val="0"/>
        <w:outlineLvl w:val="1"/>
        <w:jc w:val="center"/>
      </w:pPr>
      <w:r>
        <w:rPr>
          <w:sz w:val="24"/>
        </w:rPr>
        <w:t xml:space="preserve">IV. ХАРАКТЕРИСТИКА ПРОФЕССИОНАЛЬНОЙ ДЕЯТЕЛЬНОСТИ</w:t>
      </w:r>
    </w:p>
    <w:p>
      <w:pPr>
        <w:pStyle w:val="0"/>
        <w:jc w:val="center"/>
      </w:pPr>
      <w:r>
        <w:rPr>
          <w:sz w:val="24"/>
        </w:rPr>
        <w:t xml:space="preserve">ВЫПУСКНИКОВ, ОСВОИВШИХ ПРОГРАММУ ОРДИНАТУРЫ</w:t>
      </w:r>
    </w:p>
    <w:p>
      <w:pPr>
        <w:pStyle w:val="0"/>
        <w:jc w:val="both"/>
      </w:pPr>
      <w:r>
        <w:rPr>
          <w:sz w:val="24"/>
        </w:rPr>
      </w:r>
    </w:p>
    <w:p>
      <w:pPr>
        <w:pStyle w:val="0"/>
        <w:ind w:firstLine="540"/>
        <w:jc w:val="both"/>
      </w:pPr>
      <w:r>
        <w:rPr>
          <w:sz w:val="24"/>
        </w:rPr>
        <w:t xml:space="preserve">4.1. Область профессиональной деятельности выпускников, освоивших программу ординатуры, включает охрану здоровья граждан путем обеспечения оказания высококвалифицированной медицинской помощи в соответствии с установленными требованиями и стандартами в сфере здравоохранения.</w:t>
      </w:r>
    </w:p>
    <w:p>
      <w:pPr>
        <w:pStyle w:val="0"/>
        <w:spacing w:before="240" w:line-rule="auto"/>
        <w:ind w:firstLine="540"/>
        <w:jc w:val="both"/>
      </w:pPr>
      <w:r>
        <w:rPr>
          <w:sz w:val="24"/>
        </w:rPr>
        <w:t xml:space="preserve">4.2. Объектами профессиональной деятельности выпускников, освоивших программу ординатуры, являются:</w:t>
      </w:r>
    </w:p>
    <w:p>
      <w:pPr>
        <w:pStyle w:val="0"/>
        <w:spacing w:before="240" w:line-rule="auto"/>
        <w:ind w:firstLine="540"/>
        <w:jc w:val="both"/>
      </w:pPr>
      <w:r>
        <w:rPr>
          <w:sz w:val="24"/>
        </w:rPr>
        <w:t xml:space="preserve">физические лица (пациенты) в возрасте от 0 до 15 лет, от 15 до 18 лет (далее - подростки) и в возрасте старше 18 лет (далее - взрослые);</w:t>
      </w:r>
    </w:p>
    <w:p>
      <w:pPr>
        <w:pStyle w:val="0"/>
        <w:spacing w:before="240" w:line-rule="auto"/>
        <w:ind w:firstLine="540"/>
        <w:jc w:val="both"/>
      </w:pPr>
      <w:r>
        <w:rPr>
          <w:sz w:val="24"/>
        </w:rPr>
        <w:t xml:space="preserve">население;</w:t>
      </w:r>
    </w:p>
    <w:p>
      <w:pPr>
        <w:pStyle w:val="0"/>
        <w:spacing w:before="240" w:line-rule="auto"/>
        <w:ind w:firstLine="540"/>
        <w:jc w:val="both"/>
      </w:pPr>
      <w:r>
        <w:rPr>
          <w:sz w:val="24"/>
        </w:rPr>
        <w:t xml:space="preserve">совокупность средств и технологий, направленных на создание условий для охраны здоровья граждан.</w:t>
      </w:r>
    </w:p>
    <w:p>
      <w:pPr>
        <w:pStyle w:val="0"/>
        <w:spacing w:before="240" w:line-rule="auto"/>
        <w:ind w:firstLine="540"/>
        <w:jc w:val="both"/>
      </w:pPr>
      <w:r>
        <w:rPr>
          <w:sz w:val="24"/>
        </w:rPr>
        <w:t xml:space="preserve">4.3. Виды профессиональной деятельности, к которым готовятся выпускники, освоившие программу ординатуры:</w:t>
      </w:r>
    </w:p>
    <w:p>
      <w:pPr>
        <w:pStyle w:val="0"/>
        <w:spacing w:before="240" w:line-rule="auto"/>
        <w:ind w:firstLine="540"/>
        <w:jc w:val="both"/>
      </w:pPr>
      <w:r>
        <w:rPr>
          <w:sz w:val="24"/>
        </w:rPr>
        <w:t xml:space="preserve">профилактическая;</w:t>
      </w:r>
    </w:p>
    <w:p>
      <w:pPr>
        <w:pStyle w:val="0"/>
        <w:spacing w:before="240" w:line-rule="auto"/>
        <w:ind w:firstLine="540"/>
        <w:jc w:val="both"/>
      </w:pPr>
      <w:r>
        <w:rPr>
          <w:sz w:val="24"/>
        </w:rPr>
        <w:t xml:space="preserve">диагностическая;</w:t>
      </w:r>
    </w:p>
    <w:p>
      <w:pPr>
        <w:pStyle w:val="0"/>
        <w:spacing w:before="240" w:line-rule="auto"/>
        <w:ind w:firstLine="540"/>
        <w:jc w:val="both"/>
      </w:pPr>
      <w:r>
        <w:rPr>
          <w:sz w:val="24"/>
        </w:rPr>
        <w:t xml:space="preserve">лечебная;</w:t>
      </w:r>
    </w:p>
    <w:p>
      <w:pPr>
        <w:pStyle w:val="0"/>
        <w:spacing w:before="240" w:line-rule="auto"/>
        <w:ind w:firstLine="540"/>
        <w:jc w:val="both"/>
      </w:pPr>
      <w:r>
        <w:rPr>
          <w:sz w:val="24"/>
        </w:rPr>
        <w:t xml:space="preserve">реабилитационная;</w:t>
      </w:r>
    </w:p>
    <w:p>
      <w:pPr>
        <w:pStyle w:val="0"/>
        <w:spacing w:before="240" w:line-rule="auto"/>
        <w:ind w:firstLine="540"/>
        <w:jc w:val="both"/>
      </w:pPr>
      <w:r>
        <w:rPr>
          <w:sz w:val="24"/>
        </w:rPr>
        <w:t xml:space="preserve">психолого-педагогическая;</w:t>
      </w:r>
    </w:p>
    <w:p>
      <w:pPr>
        <w:pStyle w:val="0"/>
        <w:spacing w:before="240" w:line-rule="auto"/>
        <w:ind w:firstLine="540"/>
        <w:jc w:val="both"/>
      </w:pPr>
      <w:r>
        <w:rPr>
          <w:sz w:val="24"/>
        </w:rPr>
        <w:t xml:space="preserve">организационно-управленческая.</w:t>
      </w:r>
    </w:p>
    <w:p>
      <w:pPr>
        <w:pStyle w:val="0"/>
        <w:spacing w:before="240" w:line-rule="auto"/>
        <w:ind w:firstLine="540"/>
        <w:jc w:val="both"/>
      </w:pPr>
      <w:r>
        <w:rPr>
          <w:sz w:val="24"/>
        </w:rPr>
        <w:t xml:space="preserve">Программа ординатуры включает в себя все виды профессиональной деятельности, к которым готовится ординатор.</w:t>
      </w:r>
    </w:p>
    <w:p>
      <w:pPr>
        <w:pStyle w:val="0"/>
        <w:spacing w:before="240" w:line-rule="auto"/>
        <w:ind w:firstLine="540"/>
        <w:jc w:val="both"/>
      </w:pPr>
      <w:r>
        <w:rPr>
          <w:sz w:val="24"/>
        </w:rPr>
        <w:t xml:space="preserve">4.4. Выпускник, освоивший программу ординатуры, готов решать следующие профессиональные задачи:</w:t>
      </w:r>
    </w:p>
    <w:p>
      <w:pPr>
        <w:pStyle w:val="0"/>
        <w:spacing w:before="240" w:line-rule="auto"/>
        <w:ind w:firstLine="540"/>
        <w:jc w:val="both"/>
      </w:pPr>
      <w:r>
        <w:rPr>
          <w:sz w:val="24"/>
        </w:rPr>
        <w:t xml:space="preserve">профилактическая деятельность:</w:t>
      </w:r>
    </w:p>
    <w:p>
      <w:pPr>
        <w:pStyle w:val="0"/>
        <w:spacing w:before="240" w:line-rule="auto"/>
        <w:ind w:firstLine="540"/>
        <w:jc w:val="both"/>
      </w:pPr>
      <w:r>
        <w:rPr>
          <w:sz w:val="24"/>
        </w:rPr>
        <w:t xml:space="preserve">предупреждение возникновения заболеваний среди населения путем проведения профилактических и противоэпидемических мероприятий;</w:t>
      </w:r>
    </w:p>
    <w:p>
      <w:pPr>
        <w:pStyle w:val="0"/>
        <w:spacing w:before="240" w:line-rule="auto"/>
        <w:ind w:firstLine="540"/>
        <w:jc w:val="both"/>
      </w:pPr>
      <w:r>
        <w:rPr>
          <w:sz w:val="24"/>
        </w:rPr>
        <w:t xml:space="preserve">проведение профилактических медицинских осмотров, диспансеризации, диспансерного наблюдения;</w:t>
      </w:r>
    </w:p>
    <w:p>
      <w:pPr>
        <w:pStyle w:val="0"/>
        <w:spacing w:before="240" w:line-rule="auto"/>
        <w:ind w:firstLine="540"/>
        <w:jc w:val="both"/>
      </w:pPr>
      <w:r>
        <w:rPr>
          <w:sz w:val="24"/>
        </w:rPr>
        <w:t xml:space="preserve">проведение сбора и медико-статистического анализа информации о показателях здоровья населения различных возрастно-половых групп, характеризующих состояние их здоровья;</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диагностика заболеваний и патологических состояний пациентов на основе владения пропедевтическими, лабораторными, инструментальными и иными методами исследования;</w:t>
      </w:r>
    </w:p>
    <w:p>
      <w:pPr>
        <w:pStyle w:val="0"/>
        <w:spacing w:before="240" w:line-rule="auto"/>
        <w:ind w:firstLine="540"/>
        <w:jc w:val="both"/>
      </w:pPr>
      <w:r>
        <w:rPr>
          <w:sz w:val="24"/>
        </w:rPr>
        <w:t xml:space="preserve">диагностика неотложных состояний;</w:t>
      </w:r>
    </w:p>
    <w:p>
      <w:pPr>
        <w:pStyle w:val="0"/>
        <w:spacing w:before="240" w:line-rule="auto"/>
        <w:ind w:firstLine="540"/>
        <w:jc w:val="both"/>
      </w:pPr>
      <w:r>
        <w:rPr>
          <w:sz w:val="24"/>
        </w:rPr>
        <w:t xml:space="preserve">диагностика беременности;</w:t>
      </w:r>
    </w:p>
    <w:p>
      <w:pPr>
        <w:pStyle w:val="0"/>
        <w:spacing w:before="240" w:line-rule="auto"/>
        <w:ind w:firstLine="540"/>
        <w:jc w:val="both"/>
      </w:pPr>
      <w:r>
        <w:rPr>
          <w:sz w:val="24"/>
        </w:rPr>
        <w:t xml:space="preserve">проведение медицинской экспертизы;</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оказание специализированной медицинской помощи;</w:t>
      </w:r>
    </w:p>
    <w:p>
      <w:pPr>
        <w:pStyle w:val="0"/>
        <w:spacing w:before="240" w:line-rule="auto"/>
        <w:ind w:firstLine="540"/>
        <w:jc w:val="both"/>
      </w:pPr>
      <w:r>
        <w:rPr>
          <w:sz w:val="24"/>
        </w:rPr>
        <w:t xml:space="preserve">участие в оказании скорой медицинской помощи при состояниях, требующих срочного медицинского вмешательства;</w:t>
      </w:r>
    </w:p>
    <w:p>
      <w:pPr>
        <w:pStyle w:val="0"/>
        <w:spacing w:before="240" w:line-rule="auto"/>
        <w:ind w:firstLine="540"/>
        <w:jc w:val="both"/>
      </w:pPr>
      <w:r>
        <w:rPr>
          <w:sz w:val="24"/>
        </w:rPr>
        <w:t xml:space="preserve">оказание медицинской помощи при чрезвычайных ситуациях, в том числе участие в медицинской эвакуации;</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проведение медицинской реабилитации и санаторно-курортного лечения;</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формирование у населения, пациентов и членов их семей мотивации, направленной на сохранение и укрепление своего здоровья и здоровья окружающих;</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применение основных принципов организации оказания медицинской помощи в медицинских организациях и их структурных подразделениях;</w:t>
      </w:r>
    </w:p>
    <w:p>
      <w:pPr>
        <w:pStyle w:val="0"/>
        <w:spacing w:before="240" w:line-rule="auto"/>
        <w:ind w:firstLine="540"/>
        <w:jc w:val="both"/>
      </w:pPr>
      <w:r>
        <w:rPr>
          <w:sz w:val="24"/>
        </w:rPr>
        <w:t xml:space="preserve">организация и управление деятельностью медицинских организаций и их структурных подразделений;</w:t>
      </w:r>
    </w:p>
    <w:p>
      <w:pPr>
        <w:pStyle w:val="0"/>
        <w:spacing w:before="240" w:line-rule="auto"/>
        <w:ind w:firstLine="540"/>
        <w:jc w:val="both"/>
      </w:pPr>
      <w:r>
        <w:rPr>
          <w:sz w:val="24"/>
        </w:rPr>
        <w:t xml:space="preserve">организация проведения медицинской экспертизы;</w:t>
      </w:r>
    </w:p>
    <w:p>
      <w:pPr>
        <w:pStyle w:val="0"/>
        <w:spacing w:before="240" w:line-rule="auto"/>
        <w:ind w:firstLine="540"/>
        <w:jc w:val="both"/>
      </w:pPr>
      <w:r>
        <w:rPr>
          <w:sz w:val="24"/>
        </w:rPr>
        <w:t xml:space="preserve">организация оценки качества оказания медицинской помощи пациентам;</w:t>
      </w:r>
    </w:p>
    <w:p>
      <w:pPr>
        <w:pStyle w:val="0"/>
        <w:spacing w:before="240" w:line-rule="auto"/>
        <w:ind w:firstLine="540"/>
        <w:jc w:val="both"/>
      </w:pPr>
      <w:r>
        <w:rPr>
          <w:sz w:val="24"/>
        </w:rPr>
        <w:t xml:space="preserve">ведение учетно-отчетной документации в медицинской организации и ее структурных подразделениях;</w:t>
      </w:r>
    </w:p>
    <w:p>
      <w:pPr>
        <w:pStyle w:val="0"/>
        <w:spacing w:before="240" w:line-rule="auto"/>
        <w:ind w:firstLine="540"/>
        <w:jc w:val="both"/>
      </w:pPr>
      <w:r>
        <w:rPr>
          <w:sz w:val="24"/>
        </w:rPr>
        <w:t xml:space="preserve">создание в медицинских организациях и их структурных подразделениях благоприятных условий для пребывания пациентов и трудовой деятельности медицинского персонала с учетом требований техники безопасности и охраны труда;</w:t>
      </w:r>
    </w:p>
    <w:p>
      <w:pPr>
        <w:pStyle w:val="0"/>
        <w:spacing w:before="240" w:line-rule="auto"/>
        <w:ind w:firstLine="540"/>
        <w:jc w:val="both"/>
      </w:pPr>
      <w:r>
        <w:rPr>
          <w:sz w:val="24"/>
        </w:rPr>
        <w:t xml:space="preserve">соблюдение основных требований информационной безопасности.</w:t>
      </w:r>
    </w:p>
    <w:p>
      <w:pPr>
        <w:pStyle w:val="0"/>
        <w:jc w:val="both"/>
      </w:pPr>
      <w:r>
        <w:rPr>
          <w:sz w:val="24"/>
        </w:rPr>
      </w:r>
    </w:p>
    <w:p>
      <w:pPr>
        <w:pStyle w:val="0"/>
        <w:outlineLvl w:val="1"/>
        <w:jc w:val="center"/>
      </w:pPr>
      <w:r>
        <w:rPr>
          <w:sz w:val="24"/>
        </w:rPr>
        <w:t xml:space="preserve">V. ТРЕБОВАНИЯ К РЕЗУЛЬТАТАМ ОСВОЕНИЯ ПРОГРАММЫ ОРДИНАТУРЫ</w:t>
      </w:r>
    </w:p>
    <w:p>
      <w:pPr>
        <w:pStyle w:val="0"/>
        <w:jc w:val="both"/>
      </w:pPr>
      <w:r>
        <w:rPr>
          <w:sz w:val="24"/>
        </w:rPr>
      </w:r>
    </w:p>
    <w:p>
      <w:pPr>
        <w:pStyle w:val="0"/>
        <w:ind w:firstLine="540"/>
        <w:jc w:val="both"/>
      </w:pPr>
      <w:r>
        <w:rPr>
          <w:sz w:val="24"/>
        </w:rPr>
        <w:t xml:space="preserve">5.1. В результате освоения программы ординатуры у выпускника должны быть сформированы универсальные и профессиональные компетенции.</w:t>
      </w:r>
    </w:p>
    <w:p>
      <w:pPr>
        <w:pStyle w:val="0"/>
        <w:spacing w:before="240" w:line-rule="auto"/>
        <w:ind w:firstLine="540"/>
        <w:jc w:val="both"/>
      </w:pPr>
      <w:r>
        <w:rPr>
          <w:sz w:val="24"/>
        </w:rPr>
        <w:t xml:space="preserve">5.2. Выпускник, освоивший программу ординатуры, должен обладать следующими универсальными компетенциями:</w:t>
      </w:r>
    </w:p>
    <w:p>
      <w:pPr>
        <w:pStyle w:val="0"/>
        <w:spacing w:before="240" w:line-rule="auto"/>
        <w:ind w:firstLine="540"/>
        <w:jc w:val="both"/>
      </w:pPr>
      <w:r>
        <w:rPr>
          <w:sz w:val="24"/>
        </w:rPr>
        <w:t xml:space="preserve">готовностью к абстрактному мышлению, анализу, синтезу (УК-1);</w:t>
      </w:r>
    </w:p>
    <w:p>
      <w:pPr>
        <w:pStyle w:val="0"/>
        <w:spacing w:before="240" w:line-rule="auto"/>
        <w:ind w:firstLine="540"/>
        <w:jc w:val="both"/>
      </w:pPr>
      <w:r>
        <w:rPr>
          <w:sz w:val="24"/>
        </w:rPr>
        <w:t xml:space="preserve">готовностью к управлению коллективом, толерантно воспринимать социальные, этнические, конфессиональные и культурные различия (УК-2);</w:t>
      </w:r>
    </w:p>
    <w:p>
      <w:pPr>
        <w:pStyle w:val="0"/>
        <w:spacing w:before="240" w:line-rule="auto"/>
        <w:ind w:firstLine="540"/>
        <w:jc w:val="both"/>
      </w:pPr>
      <w:r>
        <w:rPr>
          <w:sz w:val="24"/>
        </w:rPr>
        <w:t xml:space="preserve">готовностью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программам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(УК-3)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9"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Части 13</w:t>
        </w:r>
      </w:hyperlink>
      <w:r>
        <w:rPr>
          <w:sz w:val="24"/>
        </w:rPr>
        <w:t xml:space="preserve"> и </w:t>
      </w:r>
      <w:hyperlink w:history="0" r:id="rId10"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14 статьи 82</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4263).</w:t>
      </w:r>
    </w:p>
    <w:p>
      <w:pPr>
        <w:pStyle w:val="0"/>
        <w:jc w:val="both"/>
      </w:pPr>
      <w:r>
        <w:rPr>
          <w:sz w:val="24"/>
        </w:rPr>
      </w:r>
    </w:p>
    <w:p>
      <w:pPr>
        <w:pStyle w:val="0"/>
        <w:ind w:firstLine="540"/>
        <w:jc w:val="both"/>
      </w:pPr>
      <w:r>
        <w:rPr>
          <w:sz w:val="24"/>
        </w:rPr>
        <w:t xml:space="preserve">5.3. Выпускник, освоивший программу ординатуры, должен обладать профессиональными компетенциями:</w:t>
      </w:r>
    </w:p>
    <w:p>
      <w:pPr>
        <w:pStyle w:val="0"/>
        <w:spacing w:before="240" w:line-rule="auto"/>
        <w:ind w:firstLine="540"/>
        <w:jc w:val="both"/>
      </w:pPr>
      <w:r>
        <w:rPr>
          <w:sz w:val="24"/>
        </w:rPr>
        <w:t xml:space="preserve">профилактическая деятельность:</w:t>
      </w:r>
    </w:p>
    <w:p>
      <w:pPr>
        <w:pStyle w:val="0"/>
        <w:spacing w:before="240" w:line-rule="auto"/>
        <w:ind w:firstLine="540"/>
        <w:jc w:val="both"/>
      </w:pPr>
      <w:r>
        <w:rPr>
          <w:sz w:val="24"/>
        </w:rPr>
        <w:t xml:space="preserve">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(ПК-1);</w:t>
      </w:r>
    </w:p>
    <w:p>
      <w:pPr>
        <w:pStyle w:val="0"/>
        <w:spacing w:before="240" w:line-rule="auto"/>
        <w:ind w:firstLine="540"/>
        <w:jc w:val="both"/>
      </w:pPr>
      <w:r>
        <w:rPr>
          <w:sz w:val="24"/>
        </w:rPr>
        <w:t xml:space="preserve">готовность к проведению профилактических медицинских осмотров, диспансеризации и осуществлению диспансерного наблюдения за здоровыми и хроническими больными (ПК-2);</w:t>
      </w:r>
    </w:p>
    <w:p>
      <w:pPr>
        <w:pStyle w:val="0"/>
        <w:spacing w:before="240" w:line-rule="auto"/>
        <w:ind w:firstLine="540"/>
        <w:jc w:val="both"/>
      </w:pPr>
      <w:r>
        <w:rPr>
          <w:sz w:val="24"/>
        </w:rPr>
        <w:t xml:space="preserve">готовность к проведению противоэпидемических мероприятий,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 (ПК-3);</w:t>
      </w:r>
    </w:p>
    <w:p>
      <w:pPr>
        <w:pStyle w:val="0"/>
        <w:spacing w:before="240" w:line-rule="auto"/>
        <w:ind w:firstLine="540"/>
        <w:jc w:val="both"/>
      </w:pPr>
      <w:r>
        <w:rPr>
          <w:sz w:val="24"/>
        </w:rPr>
        <w:t xml:space="preserve">готовность к применению социально-гигиенических методик сбора и медико-статистического анализа информации о показателях здоровья взрослого населения и подростков (ПК-4);</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готовность к определению у пациентов патологических состояний, симптомов, синдромов заболеваний, нозологических форм в соответствии с Международной статистической классификацией болезней и проблем, связанных со здоровьем (ПК-5);</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готовность к ведению и лечению пациентов, нуждающихся в оказании гастроэнтерологической медицинской помощи (ПК-6);</w:t>
      </w:r>
    </w:p>
    <w:p>
      <w:pPr>
        <w:pStyle w:val="0"/>
        <w:spacing w:before="240" w:line-rule="auto"/>
        <w:ind w:firstLine="540"/>
        <w:jc w:val="both"/>
      </w:pPr>
      <w:r>
        <w:rPr>
          <w:sz w:val="24"/>
        </w:rPr>
        <w:t xml:space="preserve">готовность к оказанию медицинской помощи при чрезвычайных ситуациях, в том числе участию в медицинской эвакуации (ПК-7);</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готовность к применению природных лечебных факторов, лекарственной, немедикаментозной терапии и других методов у пациентов, нуждающихся в медицинской реабилитации и санаторно-курортном лечении (ПК-8);</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(ПК-9);</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 (ПК-10);</w:t>
      </w:r>
    </w:p>
    <w:p>
      <w:pPr>
        <w:pStyle w:val="0"/>
        <w:spacing w:before="240" w:line-rule="auto"/>
        <w:ind w:firstLine="540"/>
        <w:jc w:val="both"/>
      </w:pPr>
      <w:r>
        <w:rPr>
          <w:sz w:val="24"/>
        </w:rPr>
        <w:t xml:space="preserve">готовность к участию в оценке качества оказания медицинской помощи с использованием основных медико-статистических показателей (ПК-11);</w:t>
      </w:r>
    </w:p>
    <w:p>
      <w:pPr>
        <w:pStyle w:val="0"/>
        <w:spacing w:before="240" w:line-rule="auto"/>
        <w:ind w:firstLine="540"/>
        <w:jc w:val="both"/>
      </w:pPr>
      <w:r>
        <w:rPr>
          <w:sz w:val="24"/>
        </w:rPr>
        <w:t xml:space="preserve">готовность к организации медицинской помощи при чрезвычайных ситуациях, в том числе медицинской эвакуации (ПК-12).</w:t>
      </w:r>
    </w:p>
    <w:p>
      <w:pPr>
        <w:pStyle w:val="0"/>
        <w:spacing w:before="240" w:line-rule="auto"/>
        <w:ind w:firstLine="540"/>
        <w:jc w:val="both"/>
      </w:pPr>
      <w:r>
        <w:rPr>
          <w:sz w:val="24"/>
        </w:rPr>
        <w:t xml:space="preserve">5.4. При разработке программы ординатуры все универсальные и профессиональные компетенции включаются в набор требуемых результатов освоения программы ординатуры.</w:t>
      </w:r>
    </w:p>
    <w:p>
      <w:pPr>
        <w:pStyle w:val="0"/>
        <w:spacing w:before="240" w:line-rule="auto"/>
        <w:ind w:firstLine="540"/>
        <w:jc w:val="both"/>
      </w:pPr>
      <w:r>
        <w:rPr>
          <w:sz w:val="24"/>
        </w:rPr>
        <w:t xml:space="preserve">5.5. При разработке программы ординатуры организация вправе дополнить набор компетенций выпускников в части программы, формируемой участниками образовательных отношений.</w:t>
      </w:r>
    </w:p>
    <w:p>
      <w:pPr>
        <w:pStyle w:val="0"/>
        <w:spacing w:before="240" w:line-rule="auto"/>
        <w:ind w:firstLine="540"/>
        <w:jc w:val="both"/>
      </w:pPr>
      <w:r>
        <w:rPr>
          <w:sz w:val="24"/>
        </w:rPr>
        <w:t xml:space="preserve">5.6. При разработке программы ординатуры требования к результатам обучения по отдельным дисциплинам (модулям), практикам организация устанавливает самостоятельно с учетом требований соответствующих примерных основных образовательных программ.</w:t>
      </w:r>
    </w:p>
    <w:p>
      <w:pPr>
        <w:pStyle w:val="0"/>
        <w:jc w:val="both"/>
      </w:pPr>
      <w:r>
        <w:rPr>
          <w:sz w:val="24"/>
        </w:rPr>
      </w:r>
    </w:p>
    <w:p>
      <w:pPr>
        <w:pStyle w:val="0"/>
        <w:outlineLvl w:val="1"/>
        <w:jc w:val="center"/>
      </w:pPr>
      <w:r>
        <w:rPr>
          <w:sz w:val="24"/>
        </w:rPr>
        <w:t xml:space="preserve">VI. ТРЕБОВАНИЯ К СТРУКТУРЕ ПРОГРАММЫ ОРДИНАТУРЫ</w:t>
      </w:r>
    </w:p>
    <w:p>
      <w:pPr>
        <w:pStyle w:val="0"/>
        <w:jc w:val="both"/>
      </w:pPr>
      <w:r>
        <w:rPr>
          <w:sz w:val="24"/>
        </w:rPr>
      </w:r>
    </w:p>
    <w:p>
      <w:pPr>
        <w:pStyle w:val="0"/>
        <w:ind w:firstLine="540"/>
        <w:jc w:val="both"/>
      </w:pPr>
      <w:r>
        <w:rPr>
          <w:sz w:val="24"/>
        </w:rPr>
        <w:t xml:space="preserve">6.1. Структура программы ординатуры включает обязательную часть (базовую) и часть, формируемую участниками образовательных отношений (вариативную).</w:t>
      </w:r>
    </w:p>
    <w:p>
      <w:pPr>
        <w:pStyle w:val="0"/>
        <w:spacing w:before="240" w:line-rule="auto"/>
        <w:ind w:firstLine="540"/>
        <w:jc w:val="both"/>
      </w:pPr>
      <w:r>
        <w:rPr>
          <w:sz w:val="24"/>
        </w:rPr>
        <w:t xml:space="preserve">6.2. Программа ординатуры состоит из следующих блоков:</w:t>
      </w:r>
    </w:p>
    <w:p>
      <w:pPr>
        <w:pStyle w:val="0"/>
        <w:spacing w:before="240" w:line-rule="auto"/>
        <w:ind w:firstLine="540"/>
        <w:jc w:val="both"/>
      </w:pPr>
      <w:r>
        <w:rPr>
          <w:sz w:val="24"/>
        </w:rPr>
        <w:t xml:space="preserve">Блок 1 "Дисциплины (модули)", который включает дисциплины (модули), относящиеся к базовой части программы, и дисциплины (модули), относящиеся к ее вариативной части.</w:t>
      </w:r>
    </w:p>
    <w:p>
      <w:pPr>
        <w:pStyle w:val="0"/>
        <w:spacing w:before="240" w:line-rule="auto"/>
        <w:ind w:firstLine="540"/>
        <w:jc w:val="both"/>
      </w:pPr>
      <w:r>
        <w:rPr>
          <w:sz w:val="24"/>
        </w:rPr>
        <w:t xml:space="preserve">Блок 2 "Практики", относящиеся как к базовой части программы, так и к ее вариативной части.</w:t>
      </w:r>
    </w:p>
    <w:p>
      <w:pPr>
        <w:pStyle w:val="0"/>
        <w:spacing w:before="240" w:line-rule="auto"/>
        <w:ind w:firstLine="540"/>
        <w:jc w:val="both"/>
      </w:pPr>
      <w:r>
        <w:rPr>
          <w:sz w:val="24"/>
        </w:rPr>
        <w:t xml:space="preserve">Блок 3 "Государственная итоговая аттестация", который в полном объеме относится к базовой части программы и завершается присвоением квалификации "Врач-гастроэнтеролог".</w:t>
      </w:r>
    </w:p>
    <w:p>
      <w:pPr>
        <w:pStyle w:val="0"/>
        <w:jc w:val="both"/>
      </w:pPr>
      <w:r>
        <w:rPr>
          <w:sz w:val="24"/>
        </w:rPr>
      </w:r>
    </w:p>
    <w:p>
      <w:pPr>
        <w:pStyle w:val="0"/>
        <w:outlineLvl w:val="2"/>
        <w:jc w:val="center"/>
      </w:pPr>
      <w:r>
        <w:rPr>
          <w:sz w:val="24"/>
        </w:rPr>
        <w:t xml:space="preserve">Структура программы ординатуры</w:t>
      </w:r>
    </w:p>
    <w:p>
      <w:pPr>
        <w:pStyle w:val="0"/>
        <w:jc w:val="both"/>
      </w:pPr>
      <w:r>
        <w:rPr>
          <w:sz w:val="24"/>
        </w:rPr>
      </w:r>
    </w:p>
    <w:p>
      <w:pPr>
        <w:pStyle w:val="0"/>
        <w:jc w:val="right"/>
      </w:pPr>
      <w:r>
        <w:rPr>
          <w:sz w:val="24"/>
        </w:rPr>
        <w:t xml:space="preserve">Таблица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02"/>
        <w:gridCol w:w="5580"/>
        <w:gridCol w:w="2557"/>
      </w:tblGrid>
      <w:tr>
        <w:tc>
          <w:tcPr>
            <w:gridSpan w:val="2"/>
            <w:tcW w:w="7082" w:type="dxa"/>
          </w:tcPr>
          <w:p>
            <w:pPr>
              <w:pStyle w:val="0"/>
              <w:jc w:val="center"/>
            </w:pPr>
            <w:r>
              <w:rPr>
                <w:sz w:val="24"/>
              </w:rPr>
              <w:t xml:space="preserve">Структура программы ординатуры</w:t>
            </w:r>
          </w:p>
        </w:tc>
        <w:tc>
          <w:tcPr>
            <w:tcW w:w="2557" w:type="dxa"/>
          </w:tcPr>
          <w:p>
            <w:pPr>
              <w:pStyle w:val="0"/>
              <w:jc w:val="center"/>
            </w:pPr>
            <w:r>
              <w:rPr>
                <w:sz w:val="24"/>
              </w:rPr>
              <w:t xml:space="preserve">Объем программы ординатуры в з.е.</w:t>
            </w:r>
          </w:p>
        </w:tc>
      </w:tr>
      <w:tr>
        <w:tc>
          <w:tcPr>
            <w:tcW w:w="1502" w:type="dxa"/>
          </w:tcPr>
          <w:p>
            <w:pPr>
              <w:pStyle w:val="0"/>
            </w:pPr>
            <w:r>
              <w:rPr>
                <w:sz w:val="24"/>
              </w:rPr>
              <w:t xml:space="preserve">Блок 1</w:t>
            </w:r>
          </w:p>
        </w:tc>
        <w:tc>
          <w:tcPr>
            <w:tcW w:w="5580" w:type="dxa"/>
          </w:tcPr>
          <w:p>
            <w:pPr>
              <w:pStyle w:val="0"/>
            </w:pPr>
            <w:r>
              <w:rPr>
                <w:sz w:val="24"/>
              </w:rPr>
              <w:t xml:space="preserve">Дисциплины (модули)</w:t>
            </w:r>
          </w:p>
        </w:tc>
        <w:tc>
          <w:tcPr>
            <w:tcW w:w="2557" w:type="dxa"/>
          </w:tcPr>
          <w:p>
            <w:pPr>
              <w:pStyle w:val="0"/>
              <w:jc w:val="center"/>
            </w:pPr>
            <w:r>
              <w:rPr>
                <w:sz w:val="24"/>
              </w:rPr>
              <w:t xml:space="preserve">42 - 48</w:t>
            </w:r>
          </w:p>
        </w:tc>
      </w:tr>
      <w:tr>
        <w:tc>
          <w:tcPr>
            <w:tcW w:w="1502" w:type="dxa"/>
            <w:vMerge w:val="restart"/>
          </w:tcPr>
          <w:p>
            <w:pPr>
              <w:pStyle w:val="0"/>
            </w:pPr>
            <w:r>
              <w:rPr>
                <w:sz w:val="24"/>
              </w:rPr>
            </w:r>
          </w:p>
        </w:tc>
        <w:tc>
          <w:tcPr>
            <w:tcW w:w="5580" w:type="dxa"/>
          </w:tcPr>
          <w:p>
            <w:pPr>
              <w:pStyle w:val="0"/>
            </w:pPr>
            <w:r>
              <w:rPr>
                <w:sz w:val="24"/>
              </w:rPr>
              <w:t xml:space="preserve">Базовая часть</w:t>
            </w:r>
          </w:p>
        </w:tc>
        <w:tc>
          <w:tcPr>
            <w:tcW w:w="2557" w:type="dxa"/>
          </w:tcPr>
          <w:p>
            <w:pPr>
              <w:pStyle w:val="0"/>
              <w:jc w:val="center"/>
            </w:pPr>
            <w:r>
              <w:rPr>
                <w:sz w:val="24"/>
              </w:rPr>
              <w:t xml:space="preserve">33 - 39</w:t>
            </w:r>
          </w:p>
        </w:tc>
      </w:tr>
      <w:tr>
        <w:tc>
          <w:tcPr>
            <w:vMerge w:val="continue"/>
          </w:tcPr>
          <w:p/>
        </w:tc>
        <w:tc>
          <w:tcPr>
            <w:tcW w:w="5580" w:type="dxa"/>
          </w:tcPr>
          <w:p>
            <w:pPr>
              <w:pStyle w:val="0"/>
            </w:pPr>
            <w:r>
              <w:rPr>
                <w:sz w:val="24"/>
              </w:rPr>
              <w:t xml:space="preserve">Вариативная часть</w:t>
            </w:r>
          </w:p>
        </w:tc>
        <w:tc>
          <w:tcPr>
            <w:tcW w:w="2557" w:type="dxa"/>
          </w:tcPr>
          <w:p>
            <w:pPr>
              <w:pStyle w:val="0"/>
              <w:jc w:val="center"/>
            </w:pPr>
            <w:r>
              <w:rPr>
                <w:sz w:val="24"/>
              </w:rPr>
              <w:t xml:space="preserve">6 - 12</w:t>
            </w:r>
          </w:p>
        </w:tc>
      </w:tr>
      <w:tr>
        <w:tc>
          <w:tcPr>
            <w:tcW w:w="1502" w:type="dxa"/>
            <w:vMerge w:val="restart"/>
          </w:tcPr>
          <w:p>
            <w:pPr>
              <w:pStyle w:val="0"/>
            </w:pPr>
            <w:r>
              <w:rPr>
                <w:sz w:val="24"/>
              </w:rPr>
              <w:t xml:space="preserve">Блок 2</w:t>
            </w:r>
          </w:p>
        </w:tc>
        <w:tc>
          <w:tcPr>
            <w:tcW w:w="5580" w:type="dxa"/>
          </w:tcPr>
          <w:p>
            <w:pPr>
              <w:pStyle w:val="0"/>
            </w:pPr>
            <w:r>
              <w:rPr>
                <w:sz w:val="24"/>
              </w:rPr>
              <w:t xml:space="preserve">Практики</w:t>
            </w:r>
          </w:p>
        </w:tc>
        <w:tc>
          <w:tcPr>
            <w:tcW w:w="2557" w:type="dxa"/>
          </w:tcPr>
          <w:p>
            <w:pPr>
              <w:pStyle w:val="0"/>
              <w:jc w:val="center"/>
            </w:pPr>
            <w:r>
              <w:rPr>
                <w:sz w:val="24"/>
              </w:rPr>
              <w:t xml:space="preserve">69 - 75</w:t>
            </w:r>
          </w:p>
        </w:tc>
      </w:tr>
      <w:tr>
        <w:tc>
          <w:tcPr>
            <w:vMerge w:val="continue"/>
          </w:tcPr>
          <w:p/>
        </w:tc>
        <w:tc>
          <w:tcPr>
            <w:tcW w:w="5580" w:type="dxa"/>
          </w:tcPr>
          <w:p>
            <w:pPr>
              <w:pStyle w:val="0"/>
            </w:pPr>
            <w:r>
              <w:rPr>
                <w:sz w:val="24"/>
              </w:rPr>
              <w:t xml:space="preserve">Базовая часть</w:t>
            </w:r>
          </w:p>
        </w:tc>
        <w:tc>
          <w:tcPr>
            <w:tcW w:w="2557" w:type="dxa"/>
          </w:tcPr>
          <w:p>
            <w:pPr>
              <w:pStyle w:val="0"/>
              <w:jc w:val="center"/>
            </w:pPr>
            <w:r>
              <w:rPr>
                <w:sz w:val="24"/>
              </w:rPr>
              <w:t xml:space="preserve">60 - 66</w:t>
            </w:r>
          </w:p>
        </w:tc>
      </w:tr>
      <w:tr>
        <w:tc>
          <w:tcPr>
            <w:vMerge w:val="continue"/>
          </w:tcPr>
          <w:p/>
        </w:tc>
        <w:tc>
          <w:tcPr>
            <w:tcW w:w="5580" w:type="dxa"/>
          </w:tcPr>
          <w:p>
            <w:pPr>
              <w:pStyle w:val="0"/>
            </w:pPr>
            <w:r>
              <w:rPr>
                <w:sz w:val="24"/>
              </w:rPr>
              <w:t xml:space="preserve">Вариативная часть</w:t>
            </w:r>
          </w:p>
        </w:tc>
        <w:tc>
          <w:tcPr>
            <w:tcW w:w="2557" w:type="dxa"/>
          </w:tcPr>
          <w:p>
            <w:pPr>
              <w:pStyle w:val="0"/>
              <w:jc w:val="center"/>
            </w:pPr>
            <w:r>
              <w:rPr>
                <w:sz w:val="24"/>
              </w:rPr>
              <w:t xml:space="preserve">6 - 12</w:t>
            </w:r>
          </w:p>
        </w:tc>
      </w:tr>
      <w:tr>
        <w:tc>
          <w:tcPr>
            <w:tcW w:w="1502" w:type="dxa"/>
            <w:vMerge w:val="restart"/>
          </w:tcPr>
          <w:p>
            <w:pPr>
              <w:pStyle w:val="0"/>
            </w:pPr>
            <w:r>
              <w:rPr>
                <w:sz w:val="24"/>
              </w:rPr>
              <w:t xml:space="preserve">Блок 3</w:t>
            </w:r>
          </w:p>
        </w:tc>
        <w:tc>
          <w:tcPr>
            <w:tcW w:w="5580" w:type="dxa"/>
          </w:tcPr>
          <w:p>
            <w:pPr>
              <w:pStyle w:val="0"/>
            </w:pPr>
            <w:r>
              <w:rPr>
                <w:sz w:val="24"/>
              </w:rPr>
              <w:t xml:space="preserve">Государственная итоговая аттестация</w:t>
            </w:r>
          </w:p>
        </w:tc>
        <w:tc>
          <w:tcPr>
            <w:tcW w:w="2557" w:type="dxa"/>
          </w:tcPr>
          <w:p>
            <w:pPr>
              <w:pStyle w:val="0"/>
              <w:jc w:val="center"/>
            </w:pPr>
            <w:r>
              <w:rPr>
                <w:sz w:val="24"/>
              </w:rPr>
              <w:t xml:space="preserve">3</w:t>
            </w:r>
          </w:p>
        </w:tc>
      </w:tr>
      <w:tr>
        <w:tc>
          <w:tcPr>
            <w:vMerge w:val="continue"/>
          </w:tcPr>
          <w:p/>
        </w:tc>
        <w:tc>
          <w:tcPr>
            <w:tcW w:w="5580" w:type="dxa"/>
          </w:tcPr>
          <w:p>
            <w:pPr>
              <w:pStyle w:val="0"/>
            </w:pPr>
            <w:r>
              <w:rPr>
                <w:sz w:val="24"/>
              </w:rPr>
              <w:t xml:space="preserve">Базовая часть</w:t>
            </w:r>
          </w:p>
        </w:tc>
        <w:tc>
          <w:tcPr>
            <w:tcW w:w="2557" w:type="dxa"/>
          </w:tcPr>
          <w:p>
            <w:pPr>
              <w:pStyle w:val="0"/>
              <w:jc w:val="center"/>
            </w:pPr>
            <w:r>
              <w:rPr>
                <w:sz w:val="24"/>
              </w:rPr>
              <w:t xml:space="preserve">3</w:t>
            </w:r>
          </w:p>
        </w:tc>
      </w:tr>
      <w:tr>
        <w:tc>
          <w:tcPr>
            <w:gridSpan w:val="2"/>
            <w:tcW w:w="7082" w:type="dxa"/>
          </w:tcPr>
          <w:p>
            <w:pPr>
              <w:pStyle w:val="0"/>
            </w:pPr>
            <w:r>
              <w:rPr>
                <w:sz w:val="24"/>
              </w:rPr>
              <w:t xml:space="preserve">Объем программы ординатуры</w:t>
            </w:r>
          </w:p>
        </w:tc>
        <w:tc>
          <w:tcPr>
            <w:tcW w:w="2557" w:type="dxa"/>
          </w:tcPr>
          <w:p>
            <w:pPr>
              <w:pStyle w:val="0"/>
              <w:jc w:val="center"/>
            </w:pPr>
            <w:r>
              <w:rPr>
                <w:sz w:val="24"/>
              </w:rPr>
              <w:t xml:space="preserve">120</w:t>
            </w:r>
          </w:p>
        </w:tc>
      </w:tr>
    </w:tbl>
    <w:p>
      <w:pPr>
        <w:pStyle w:val="0"/>
        <w:jc w:val="both"/>
      </w:pPr>
      <w:r>
        <w:rPr>
          <w:sz w:val="24"/>
        </w:rPr>
      </w:r>
    </w:p>
    <w:p>
      <w:pPr>
        <w:pStyle w:val="0"/>
        <w:ind w:firstLine="540"/>
        <w:jc w:val="both"/>
      </w:pPr>
      <w:r>
        <w:rPr>
          <w:sz w:val="24"/>
        </w:rPr>
        <w:t xml:space="preserve">6.3. Дисциплины (модули), относящиеся к базовой части программы ординатуры, являются обязательными для освоения обучающимся. Набор дисциплин (модулей), относящихся к базовой части программы ординатуры, организация определяет самостоятельно в объеме, установленном настоящим ФГОС ВО, с учетом соответствующей (соответствующих) примерной (примерных) основной (основных) образовательной (образовательных) программы (программ).</w:t>
      </w:r>
    </w:p>
    <w:p>
      <w:pPr>
        <w:pStyle w:val="0"/>
        <w:spacing w:before="240" w:line-rule="auto"/>
        <w:ind w:firstLine="540"/>
        <w:jc w:val="both"/>
      </w:pPr>
      <w:r>
        <w:rPr>
          <w:sz w:val="24"/>
        </w:rPr>
        <w:t xml:space="preserve">6.4. Дисциплины (модули) по общественному здоровью и здравоохранению, педагогике, медицине чрезвычайных ситуаций, патологии реализуются в рамках базовой части Блока 1 "Дисциплины (модули)" программы ординатуры. Объем, содержание и порядок реализации указанных дисциплин (модулей) определяются организацией самостоятельно.</w:t>
      </w:r>
    </w:p>
    <w:p>
      <w:pPr>
        <w:pStyle w:val="0"/>
        <w:spacing w:before="240" w:line-rule="auto"/>
        <w:ind w:firstLine="540"/>
        <w:jc w:val="both"/>
      </w:pPr>
      <w:r>
        <w:rPr>
          <w:sz w:val="24"/>
        </w:rPr>
        <w:t xml:space="preserve">6.5. Дисциплины (модули), относящиеся к вариативной части программы ординатуры, и практики обеспечивают освоение выпускником профессиональных компетенций с учетом конкретного вида (видов) деятельности в различных медицинских организациях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1"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4"/>
            <w:color w:val="0000ff"/>
          </w:rPr>
          <w:t xml:space="preserve">Приказ</w:t>
        </w:r>
      </w:hyperlink>
      <w:r>
        <w:rPr>
          <w:sz w:val="24"/>
        </w:rPr>
        <w:t xml:space="preserve"> Министерства здравоохранения Российской Федерации от 6 августа 2013 г. N 529н "Об утверждении номенклатуры медицинских организаций" (зарегистрирован Министерством юстиции Российской Федерации 13 сентября 2013 г., регистрационный N 29950).</w:t>
      </w:r>
    </w:p>
    <w:p>
      <w:pPr>
        <w:pStyle w:val="0"/>
        <w:jc w:val="both"/>
      </w:pPr>
      <w:r>
        <w:rPr>
          <w:sz w:val="24"/>
        </w:rPr>
      </w:r>
    </w:p>
    <w:p>
      <w:pPr>
        <w:pStyle w:val="0"/>
        <w:ind w:firstLine="540"/>
        <w:jc w:val="both"/>
      </w:pPr>
      <w:r>
        <w:rPr>
          <w:sz w:val="24"/>
        </w:rPr>
        <w:t xml:space="preserve">Набор дисциплин (модулей), относящихся к вариативной части программы ординатуры, организация определяет самостоятельно в объеме, установленном настоящим ФГОС ВО.</w:t>
      </w:r>
    </w:p>
    <w:p>
      <w:pPr>
        <w:pStyle w:val="0"/>
        <w:spacing w:before="240" w:line-rule="auto"/>
        <w:ind w:firstLine="540"/>
        <w:jc w:val="both"/>
      </w:pPr>
      <w:r>
        <w:rPr>
          <w:sz w:val="24"/>
        </w:rPr>
        <w:t xml:space="preserve">После выбора обучающимся дисциплин (модулей) и практик вариативной части они становятся обязательными для освоения обучающимся.</w:t>
      </w:r>
    </w:p>
    <w:p>
      <w:pPr>
        <w:pStyle w:val="0"/>
        <w:spacing w:before="240" w:line-rule="auto"/>
        <w:ind w:firstLine="540"/>
        <w:jc w:val="both"/>
      </w:pPr>
      <w:r>
        <w:rPr>
          <w:sz w:val="24"/>
        </w:rPr>
        <w:t xml:space="preserve">6.6. В Блок 2 "Практики" входит производственная (клиническая) практика.</w:t>
      </w:r>
    </w:p>
    <w:p>
      <w:pPr>
        <w:pStyle w:val="0"/>
        <w:spacing w:before="240" w:line-rule="auto"/>
        <w:ind w:firstLine="540"/>
        <w:jc w:val="both"/>
      </w:pPr>
      <w:r>
        <w:rPr>
          <w:sz w:val="24"/>
        </w:rPr>
        <w:t xml:space="preserve">Способы проведения производственной (клинической) практики:</w:t>
      </w:r>
    </w:p>
    <w:p>
      <w:pPr>
        <w:pStyle w:val="0"/>
        <w:spacing w:before="240" w:line-rule="auto"/>
        <w:ind w:firstLine="540"/>
        <w:jc w:val="both"/>
      </w:pPr>
      <w:r>
        <w:rPr>
          <w:sz w:val="24"/>
        </w:rPr>
        <w:t xml:space="preserve">стационарная;</w:t>
      </w:r>
    </w:p>
    <w:p>
      <w:pPr>
        <w:pStyle w:val="0"/>
        <w:spacing w:before="240" w:line-rule="auto"/>
        <w:ind w:firstLine="540"/>
        <w:jc w:val="both"/>
      </w:pPr>
      <w:r>
        <w:rPr>
          <w:sz w:val="24"/>
        </w:rPr>
        <w:t xml:space="preserve">выездная.</w:t>
      </w:r>
    </w:p>
    <w:p>
      <w:pPr>
        <w:pStyle w:val="0"/>
        <w:spacing w:before="240" w:line-rule="auto"/>
        <w:ind w:firstLine="540"/>
        <w:jc w:val="both"/>
      </w:pPr>
      <w:r>
        <w:rPr>
          <w:sz w:val="24"/>
        </w:rPr>
        <w:t xml:space="preserve">Практики могут проводиться в структурных подразделениях организации.</w:t>
      </w:r>
    </w:p>
    <w:p>
      <w:pPr>
        <w:pStyle w:val="0"/>
        <w:spacing w:before="240" w:line-rule="auto"/>
        <w:ind w:firstLine="540"/>
        <w:jc w:val="both"/>
      </w:pPr>
      <w:r>
        <w:rPr>
          <w:sz w:val="24"/>
        </w:rPr>
        <w:t xml:space="preserve">Для лиц с ограниченными возможностями здоровья выбор мест прохождения практик должен учитывать состояние здоровья и требования по доступности.</w:t>
      </w:r>
    </w:p>
    <w:p>
      <w:pPr>
        <w:pStyle w:val="0"/>
        <w:spacing w:before="240" w:line-rule="auto"/>
        <w:ind w:firstLine="540"/>
        <w:jc w:val="both"/>
      </w:pPr>
      <w:r>
        <w:rPr>
          <w:sz w:val="24"/>
        </w:rPr>
        <w:t xml:space="preserve">6.7. В Блок 3 "Государственная итоговая аттестация" входит подготовка к сдаче и сдача государственного экзамена.</w:t>
      </w:r>
    </w:p>
    <w:p>
      <w:pPr>
        <w:pStyle w:val="0"/>
        <w:spacing w:before="240" w:line-rule="auto"/>
        <w:ind w:firstLine="540"/>
        <w:jc w:val="both"/>
      </w:pPr>
      <w:r>
        <w:rPr>
          <w:sz w:val="24"/>
        </w:rPr>
        <w:t xml:space="preserve">6.8. При разработке программы ординатуры обучающимся обеспечивается возможность освоения дисциплин (модулей) по выбору, в том числе освоения специализированных адаптационных дисциплин (модулей) для лиц с ограниченными возможностями здоровья, в объеме не менее 30 процентов от объема вариативной части Блока 1 "Дисциплины (модули)".</w:t>
      </w:r>
    </w:p>
    <w:p>
      <w:pPr>
        <w:pStyle w:val="0"/>
        <w:spacing w:before="240" w:line-rule="auto"/>
        <w:ind w:firstLine="540"/>
        <w:jc w:val="both"/>
      </w:pPr>
      <w:r>
        <w:rPr>
          <w:sz w:val="24"/>
        </w:rPr>
        <w:t xml:space="preserve">6.9. Количество часов, отведенных на занятия лекционного типа в целом по Блоку 1 "Дисциплины (модули)", должно составлять не более 10 процентов от общего количества часов аудиторных занятий, отведенных на реализацию данного Блока.</w:t>
      </w:r>
    </w:p>
    <w:p>
      <w:pPr>
        <w:pStyle w:val="0"/>
        <w:jc w:val="both"/>
      </w:pPr>
      <w:r>
        <w:rPr>
          <w:sz w:val="24"/>
        </w:rPr>
      </w:r>
    </w:p>
    <w:p>
      <w:pPr>
        <w:pStyle w:val="0"/>
        <w:outlineLvl w:val="1"/>
        <w:jc w:val="center"/>
      </w:pPr>
      <w:r>
        <w:rPr>
          <w:sz w:val="24"/>
        </w:rPr>
        <w:t xml:space="preserve">VII. ТРЕБОВАНИЯ К УСЛОВИЯМ РЕАЛИЗАЦИИ ПРОГРАММЫ ОРДИНАТУРЫ</w:t>
      </w:r>
    </w:p>
    <w:p>
      <w:pPr>
        <w:pStyle w:val="0"/>
        <w:jc w:val="both"/>
      </w:pPr>
      <w:r>
        <w:rPr>
          <w:sz w:val="24"/>
        </w:rPr>
      </w:r>
    </w:p>
    <w:p>
      <w:pPr>
        <w:pStyle w:val="0"/>
        <w:outlineLvl w:val="2"/>
        <w:ind w:firstLine="540"/>
        <w:jc w:val="both"/>
      </w:pPr>
      <w:r>
        <w:rPr>
          <w:sz w:val="24"/>
        </w:rPr>
        <w:t xml:space="preserve">7.1. Общесистемные требования к реализации программы ординатуры.</w:t>
      </w:r>
    </w:p>
    <w:p>
      <w:pPr>
        <w:pStyle w:val="0"/>
        <w:spacing w:before="240" w:line-rule="auto"/>
        <w:ind w:firstLine="540"/>
        <w:jc w:val="both"/>
      </w:pPr>
      <w:r>
        <w:rPr>
          <w:sz w:val="24"/>
        </w:rPr>
        <w:t xml:space="preserve">7.1.1. Организация должна располагать материально-технической базой, соответствующей действующим противопожарным правилам и нормам и обеспечивающей проведение всех видов дисциплинарной и междисциплинарной подготовки, практической работы обучающихся, предусмотренной учебным планом.</w:t>
      </w:r>
    </w:p>
    <w:p>
      <w:pPr>
        <w:pStyle w:val="0"/>
        <w:spacing w:before="240" w:line-rule="auto"/>
        <w:ind w:firstLine="540"/>
        <w:jc w:val="both"/>
      </w:pPr>
      <w:r>
        <w:rPr>
          <w:sz w:val="24"/>
        </w:rPr>
        <w:t xml:space="preserve">7.1.2. 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w:t>
      </w:r>
    </w:p>
    <w:p>
      <w:pPr>
        <w:pStyle w:val="0"/>
        <w:spacing w:before="240" w:line-rule="auto"/>
        <w:ind w:firstLine="540"/>
        <w:jc w:val="both"/>
      </w:pPr>
      <w:r>
        <w:rPr>
          <w:sz w:val="24"/>
        </w:rPr>
        <w:t xml:space="preserve">Электронная информационно-образовательная среда организации должна обеспечивать:</w:t>
      </w:r>
    </w:p>
    <w:p>
      <w:pPr>
        <w:pStyle w:val="0"/>
        <w:spacing w:before="240" w:line-rule="auto"/>
        <w:ind w:firstLine="540"/>
        <w:jc w:val="both"/>
      </w:pPr>
      <w:r>
        <w:rPr>
          <w:sz w:val="24"/>
        </w:rPr>
        <w:t xml:space="preserve">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w:t>
      </w:r>
    </w:p>
    <w:p>
      <w:pPr>
        <w:pStyle w:val="0"/>
        <w:spacing w:before="240" w:line-rule="auto"/>
        <w:ind w:firstLine="540"/>
        <w:jc w:val="both"/>
      </w:pPr>
      <w:r>
        <w:rPr>
          <w:sz w:val="24"/>
        </w:rPr>
        <w:t xml:space="preserve">фиксацию хода образовательного процесса, результатов промежуточной аттестации и результатов освоения основной образовательной программы;</w:t>
      </w:r>
    </w:p>
    <w:p>
      <w:pPr>
        <w:pStyle w:val="0"/>
        <w:spacing w:before="240" w:line-rule="auto"/>
        <w:ind w:firstLine="540"/>
        <w:jc w:val="both"/>
      </w:pPr>
      <w:r>
        <w:rPr>
          <w:sz w:val="24"/>
        </w:rPr>
        <w:t xml:space="preserve">проведение всех видов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формирование электронного портфолио обучающегося, в том числе сохранение работ обучающегося, рецензий и оценок на эти работы со стороны любых участников образовательного процесса;</w:t>
      </w:r>
    </w:p>
    <w:p>
      <w:pPr>
        <w:pStyle w:val="0"/>
        <w:spacing w:before="240" w:line-rule="auto"/>
        <w:ind w:firstLine="540"/>
        <w:jc w:val="both"/>
      </w:pPr>
      <w:r>
        <w:rPr>
          <w:sz w:val="24"/>
        </w:rPr>
        <w:t xml:space="preserve">взаимодействие между участниками образовательного процесса, в том числе синхронное и (или) асинхронное взаимодействие посредством сети "Интернет".</w:t>
      </w:r>
    </w:p>
    <w:p>
      <w:pPr>
        <w:pStyle w:val="0"/>
        <w:spacing w:before="240" w:line-rule="auto"/>
        <w:ind w:firstLine="540"/>
        <w:jc w:val="both"/>
      </w:pPr>
      <w:r>
        <w:rPr>
          <w:sz w:val="24"/>
        </w:rPr>
        <w:t xml:space="preserve">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Федеральный </w:t>
      </w:r>
      <w:hyperlink w:history="0" r:id="rId12" w:tooltip="Федеральный закон от 27.07.2006 N 149-ФЗ (ред. от 23.11.2024) &quot;Об информации, информационных технологиях и о защите информации&quot; (с изм. и доп., вступ. в силу с 01.01.2025) {КонсультантПлюс}">
        <w:r>
          <w:rPr>
            <w:sz w:val="24"/>
            <w:color w:val="0000ff"/>
          </w:rPr>
          <w:t xml:space="preserve">закон</w:t>
        </w:r>
      </w:hyperlink>
      <w:r>
        <w:rPr>
          <w:sz w:val="24"/>
        </w:rP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2010, N 31, ст. 4196; 2011, N 15, ст. 2038; N 30, ст. 4600; 2012, N 31, ст. 4328; 2013, N 14, ст. 1658; N 23, ст. 2870; N 27, ст. 3479; N 52, ст. 6961, ст. 6963; 2014, N 19, ст. 2302; N 30, ст. 4223, ст. 4243), Федеральный </w:t>
      </w:r>
      <w:hyperlink w:history="0" r:id="rId13" w:tooltip="Федеральный закон от 27.07.2006 N 152-ФЗ (ред. от 08.08.2024) &quot;О персональных данных&quot; {КонсультантПлюс}">
        <w:r>
          <w:rPr>
            <w:sz w:val="24"/>
            <w:color w:val="0000ff"/>
          </w:rPr>
          <w:t xml:space="preserve">закон</w:t>
        </w:r>
      </w:hyperlink>
      <w:r>
        <w:rPr>
          <w:sz w:val="24"/>
        </w:rPr>
        <w:t xml:space="preserve"> от 27 июля 2006 г. N 152-ФЗ "О персональных данных" (Собрание законодательства Российской Федерации, 2006, N 31, ст. 3451; 2009, N 48, ст. 5716; N 52, ст. 6439; 2010, N 27, ст. 3407; N 31, ст. 4173, ст. 4196; N 49, ст. 6409; 2011, N 23, ст. 3263; N 31, ст. 4701; 2013, N 14, ст. 1651; N 30, ст. 4038; N 51, ст. 6683; 2014, N 23, ст. 2927).</w:t>
      </w:r>
    </w:p>
    <w:p>
      <w:pPr>
        <w:pStyle w:val="0"/>
        <w:jc w:val="both"/>
      </w:pPr>
      <w:r>
        <w:rPr>
          <w:sz w:val="24"/>
        </w:rPr>
      </w:r>
    </w:p>
    <w:p>
      <w:pPr>
        <w:pStyle w:val="0"/>
        <w:ind w:firstLine="540"/>
        <w:jc w:val="both"/>
      </w:pPr>
      <w:r>
        <w:rPr>
          <w:sz w:val="24"/>
        </w:rPr>
        <w:t xml:space="preserve">7.1.3. В случае реализации программы ординатуры в сетевой форме требования к реализации программы ординатуры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ординатуры в сетевой форме.</w:t>
      </w:r>
    </w:p>
    <w:p>
      <w:pPr>
        <w:pStyle w:val="0"/>
        <w:spacing w:before="240" w:line-rule="auto"/>
        <w:ind w:firstLine="540"/>
        <w:jc w:val="both"/>
      </w:pPr>
      <w:r>
        <w:rPr>
          <w:sz w:val="24"/>
        </w:rPr>
        <w:t xml:space="preserve">7.1.4. В случае реализации программы ординатуры на созданных в установленном порядке в иных организациях кафедрах или иных структурных подразделениях организации требования к реализации программы ординатуры должны обеспечиваться совокупностью ресурсов указанных организаций.</w:t>
      </w:r>
    </w:p>
    <w:p>
      <w:pPr>
        <w:pStyle w:val="0"/>
        <w:spacing w:before="240" w:line-rule="auto"/>
        <w:ind w:firstLine="540"/>
        <w:jc w:val="both"/>
      </w:pPr>
      <w:r>
        <w:rPr>
          <w:sz w:val="24"/>
        </w:rPr>
        <w:t xml:space="preserve">7.1.5. Квалификация руководящих и научно-педагогических работников организации должна соответствовать квалификационным характеристикам, установленным квалификационным требованиям к медицинским и фармацевтическим работникам, утверждаемым Министерством здравоохранения Российской Федерации &lt;1&gt;, и квалификационным характеристикам, установленным в Едином квалификационном справочнике должностей руководителей, специалистов и служащих, </w:t>
      </w:r>
      <w:hyperlink w:history="0" r:id="rId14" w:tooltip="Приказ Минздравсоцразвития России от 11.01.2011 N 1н (ред. от 25.01.2023)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уководителей и специалистов высшего профессионального и дополнительного профессионального образования&quot; (Зарегистрировано в Минюсте России 23.03.2011 N 20237) {КонсультантПлюс}">
        <w:r>
          <w:rPr>
            <w:sz w:val="24"/>
            <w:color w:val="0000ff"/>
          </w:rPr>
          <w:t xml:space="preserve">разделе</w:t>
        </w:r>
      </w:hyperlink>
      <w:r>
        <w:rPr>
          <w:sz w:val="24"/>
        </w:rPr>
        <w:t xml:space="preserve">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N 1н (зарегистрирован Министерством юстиции Российской Федерации 23 марта 2011 г., регистрационный N 20237), и профессиональным стандартам (при наличии).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5"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 ------------ Утратил силу или отменен {КонсультантПлюс}">
        <w:r>
          <w:rPr>
            <w:sz w:val="24"/>
            <w:color w:val="0000ff"/>
          </w:rPr>
          <w:t xml:space="preserve">Приказ</w:t>
        </w:r>
      </w:hyperlink>
      <w:r>
        <w:rPr>
          <w:sz w:val="24"/>
        </w:rPr>
        <w:t xml:space="preserve"> Министерства здравоохранения и социального развития Российской Федерации от 7 июля 2009 г. N 415н "Об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 (зарегистрирован Министерством юстиции Российской Федерации 9 июля 2009 г., регистрационный N 14292) с изменениями, внесенными приказом Министерства здравоохранения и социального развития Российской Федерации от 26 декабря 2011 г. N 1644н "О внесении изменений в квалификационные требования к специалистам с высшим и послевузовским медицинским и фармацевтическим образованием в сфере здравоохранения, утвержденные приказом Министерства здравоохранения и социального развития Российской Федерации от 7 июля 2009 г. N 415н" (зарегистрирован Министерством юстиции Российской Федерации 18 апреля 2012 г., регистрационный N 23879).</w:t>
      </w:r>
    </w:p>
    <w:p>
      <w:pPr>
        <w:pStyle w:val="0"/>
        <w:jc w:val="both"/>
      </w:pPr>
      <w:r>
        <w:rPr>
          <w:sz w:val="24"/>
        </w:rPr>
      </w:r>
    </w:p>
    <w:p>
      <w:pPr>
        <w:pStyle w:val="0"/>
        <w:ind w:firstLine="540"/>
        <w:jc w:val="both"/>
      </w:pPr>
      <w:r>
        <w:rPr>
          <w:sz w:val="24"/>
        </w:rPr>
        <w:t xml:space="preserve">7.1.6. Доля штатных научно-педагогических работников (в приведенных к целочисленным значениям ставок) должна составлять не менее 70 процентов от общего количества научно-педагогических работников организации.</w:t>
      </w:r>
    </w:p>
    <w:p>
      <w:pPr>
        <w:pStyle w:val="0"/>
        <w:jc w:val="both"/>
      </w:pPr>
      <w:r>
        <w:rPr>
          <w:sz w:val="24"/>
        </w:rPr>
      </w:r>
    </w:p>
    <w:p>
      <w:pPr>
        <w:pStyle w:val="0"/>
        <w:outlineLvl w:val="2"/>
        <w:ind w:firstLine="540"/>
        <w:jc w:val="both"/>
      </w:pPr>
      <w:r>
        <w:rPr>
          <w:sz w:val="24"/>
        </w:rPr>
        <w:t xml:space="preserve">7.2. Требования к кадровым условиям реализации программ ординатуры.</w:t>
      </w:r>
    </w:p>
    <w:p>
      <w:pPr>
        <w:pStyle w:val="0"/>
        <w:spacing w:before="240" w:line-rule="auto"/>
        <w:ind w:firstLine="540"/>
        <w:jc w:val="both"/>
      </w:pPr>
      <w:r>
        <w:rPr>
          <w:sz w:val="24"/>
        </w:rPr>
        <w:t xml:space="preserve">7.2.1. Реализация программы ординатуры обеспечивается руководящими и научно-педагогическими работниками организации, а также лицами, привлекаемыми к реализации программы ординатуры на условиях гражданско-правового договора.</w:t>
      </w:r>
    </w:p>
    <w:p>
      <w:pPr>
        <w:pStyle w:val="0"/>
        <w:spacing w:before="240" w:line-rule="auto"/>
        <w:ind w:firstLine="540"/>
        <w:jc w:val="both"/>
      </w:pPr>
      <w:r>
        <w:rPr>
          <w:sz w:val="24"/>
        </w:rPr>
        <w:t xml:space="preserve">7.2.2. Доля научно-педагогических работников (в приведенных к целочисленным значениям ставок), имеющих образование, соответствующее профилю преподаваемой дисциплины (модуля), в общем числе научно-педагогических работников, реализующих программу ординатуры, должна составлять не менее 70 процентов.</w:t>
      </w:r>
    </w:p>
    <w:p>
      <w:pPr>
        <w:pStyle w:val="0"/>
        <w:spacing w:before="240" w:line-rule="auto"/>
        <w:ind w:firstLine="540"/>
        <w:jc w:val="both"/>
      </w:pPr>
      <w:r>
        <w:rPr>
          <w:sz w:val="24"/>
        </w:rPr>
        <w:t xml:space="preserve">7.2.3. Доля научно-педагогических работников (в приведенных к целочисленным значениям ставок), имеющих ученую степень (в том числе ученую степень, присвоенную за рубежом и признаваемую в Российской Федерации) и (или) ученое звание (в том числе ученое звание, полученное за рубежом и признаваемое в Российской Федерации), в общем числе научно-педагогических работников, реализующих программу ординатуры, должна быть не менее 65 процентов.</w:t>
      </w:r>
    </w:p>
    <w:p>
      <w:pPr>
        <w:pStyle w:val="0"/>
        <w:spacing w:before="240" w:line-rule="auto"/>
        <w:ind w:firstLine="540"/>
        <w:jc w:val="both"/>
      </w:pPr>
      <w:r>
        <w:rPr>
          <w:sz w:val="24"/>
        </w:rPr>
        <w:t xml:space="preserve">7.2.4. Доля работников (в приведенных к целочисленным значениям ставок) из числа руководителей и работников организаций, деятельность которых связана с направленностью (спецификой) реализуемой программы ординатуры (имеющих стаж работы в данной профессиональной области не менее 3 лет), в общем числе работников, реализующих программу ординатуры, должна быть не менее 10 процентов.</w:t>
      </w:r>
    </w:p>
    <w:p>
      <w:pPr>
        <w:pStyle w:val="0"/>
        <w:jc w:val="both"/>
      </w:pPr>
      <w:r>
        <w:rPr>
          <w:sz w:val="24"/>
        </w:rPr>
      </w:r>
    </w:p>
    <w:p>
      <w:pPr>
        <w:pStyle w:val="0"/>
        <w:outlineLvl w:val="2"/>
        <w:ind w:firstLine="540"/>
        <w:jc w:val="both"/>
      </w:pPr>
      <w:r>
        <w:rPr>
          <w:sz w:val="24"/>
        </w:rPr>
        <w:t xml:space="preserve">7.3. Требования к материально-техническому и учебно-методическому обеспечению программы ординатуры.</w:t>
      </w:r>
    </w:p>
    <w:p>
      <w:pPr>
        <w:pStyle w:val="0"/>
        <w:spacing w:before="240" w:line-rule="auto"/>
        <w:ind w:firstLine="540"/>
        <w:jc w:val="both"/>
      </w:pPr>
      <w:r>
        <w:rPr>
          <w:sz w:val="24"/>
        </w:rPr>
        <w:t xml:space="preserve">7.3.1. Минимально необходимый для реализации программы ординатуры перечень материально-технического обеспечения включает в себя специально оборудованные помещения для проведения учебных занятий, в том числе:</w:t>
      </w:r>
    </w:p>
    <w:p>
      <w:pPr>
        <w:pStyle w:val="0"/>
        <w:spacing w:before="240" w:line-rule="auto"/>
        <w:ind w:firstLine="540"/>
        <w:jc w:val="both"/>
      </w:pPr>
      <w:r>
        <w:rPr>
          <w:sz w:val="24"/>
        </w:rPr>
        <w:t xml:space="preserve">аудитории, оборудованные мультимедийными и иными средствами обучения, позволяющими использовать симуляционные технологии, с типовыми наборами профессиональных моделей и результатов лабораторных и инструментальных исследований в количестве, позволяющем обучающимся осваивать умения и навыки, предусмотренные профессиональной деятельностью, индивидуально;</w:t>
      </w:r>
    </w:p>
    <w:p>
      <w:pPr>
        <w:pStyle w:val="0"/>
        <w:spacing w:before="240" w:line-rule="auto"/>
        <w:ind w:firstLine="540"/>
        <w:jc w:val="both"/>
      </w:pPr>
      <w:r>
        <w:rPr>
          <w:sz w:val="24"/>
        </w:rPr>
        <w:t xml:space="preserve">аудитории, оборудованные фантомной и симуляционной техникой, имитирующей манипуляции, в количестве, позволяющем обучающимся осваивать умения и навыки, предусмотренные профессиональной деятельностью, индивидуально;</w:t>
      </w:r>
    </w:p>
    <w:p>
      <w:pPr>
        <w:pStyle w:val="0"/>
        <w:spacing w:before="240" w:line-rule="auto"/>
        <w:ind w:firstLine="540"/>
        <w:jc w:val="both"/>
      </w:pPr>
      <w:r>
        <w:rPr>
          <w:sz w:val="24"/>
        </w:rPr>
        <w:t xml:space="preserve">анатомический зал и (или) помещения, предусмотренные для работы с биологическими моделями;</w:t>
      </w:r>
    </w:p>
    <w:p>
      <w:pPr>
        <w:pStyle w:val="0"/>
        <w:spacing w:before="240" w:line-rule="auto"/>
        <w:ind w:firstLine="540"/>
        <w:jc w:val="both"/>
      </w:pPr>
      <w:r>
        <w:rPr>
          <w:sz w:val="24"/>
        </w:rPr>
        <w:t xml:space="preserve">помещения, предусмотренные для оказания медицинской помощи пациентам, в том числе связанные с медицинскими вмешательствами, оснащенные специализированным оборудованием и (или) медицинскими изделиями (тонометр, стетоскоп, фонендоскоп, термометр, медицинские весы, ростомер, противошоковый набор, набор и укладка для экстренных профилактических и лечебных мероприятий, электрокардиограф, облучатель бактерицидный, прибор для проведения внутрижелудочной pH-метрии, гастроскоп с набором для биопсии, колоноскоп с набором для биопсии, ректосигмоскоп с набором для биопсии, аппарат для ультразвуковой диагностики, набор для слепой пункционной биопсии печени, аппарат наркозно-дыхательный, аппарат искусственной вентиляции легких, инфузомат, отсасыватель послеоперационный, дефибриллятор с функцией синхронизации, стол операционный хирургический многофункциональный универсальный, хирургический, микрохирургический инструментарий, универсальная система ранорасширителей с прикреплением к операционному столу, аппарат для мониторирования основных функциональных показателей, анализатор дыхательной смеси, электроэнцефалограф, дефибриллятор с функцией синхронизации) и расходным материалом в количестве, позволяющем обучающимся осваивать умения и навыки, предусмотренные профессиональной деятельностью, индивидуально, а также иное оборудование, необходимое для реализации программы ординатуры.</w:t>
      </w:r>
    </w:p>
    <w:p>
      <w:pPr>
        <w:pStyle w:val="0"/>
        <w:spacing w:before="240" w:line-rule="auto"/>
        <w:ind w:firstLine="540"/>
        <w:jc w:val="both"/>
      </w:pPr>
      <w:r>
        <w:rPr>
          <w:sz w:val="24"/>
        </w:rPr>
        <w:t xml:space="preserve">Помещения для самостоятельной работы обучающихся должны быть оснащены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pPr>
        <w:pStyle w:val="0"/>
        <w:spacing w:before="240" w:line-rule="auto"/>
        <w:ind w:firstLine="540"/>
        <w:jc w:val="both"/>
      </w:pPr>
      <w:r>
        <w:rPr>
          <w:sz w:val="24"/>
        </w:rPr>
        <w:t xml:space="preserve">В случае применения электронного обучения, дистанционных образовательных технологий допускается замена специально оборудованных помещений их виртуальными аналогами, позволяющими обучающимся осваивать умения и навыки, предусмотренные профессиональной деятельностью.</w:t>
      </w:r>
    </w:p>
    <w:p>
      <w:pPr>
        <w:pStyle w:val="0"/>
        <w:spacing w:before="240" w:line-rule="auto"/>
        <w:ind w:firstLine="540"/>
        <w:jc w:val="both"/>
      </w:pPr>
      <w:r>
        <w:rPr>
          <w:sz w:val="24"/>
        </w:rPr>
        <w:t xml:space="preserve">В случае неиспользования в организации электронно-библиотечной системы (электронной библиотеки) библиотечный фонд должен быть укомплектован печатными изданиями из расчета не менее 50 экземпляров каждого из изданий основной литературы, перечисленной в рабочих программах дисциплин (модулей), практик, и не менее 25 экземпляров дополнительной литературы на 100 обучающихся.</w:t>
      </w:r>
    </w:p>
    <w:p>
      <w:pPr>
        <w:pStyle w:val="0"/>
        <w:spacing w:before="240" w:line-rule="auto"/>
        <w:ind w:firstLine="540"/>
        <w:jc w:val="both"/>
      </w:pPr>
      <w:r>
        <w:rPr>
          <w:sz w:val="24"/>
        </w:rPr>
        <w:t xml:space="preserve">7.3.2. Организация должна быть обеспечена необходимым комплектом лицензионного программного обеспечения (состав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7.3.3. Электронно-библиотечные системы (электронная библиотека) и электронная информационно-образовательная среда должны обеспечивать одновременный доступ не менее 25 процентов обучающихся по программе ординатуры.</w:t>
      </w:r>
    </w:p>
    <w:p>
      <w:pPr>
        <w:pStyle w:val="0"/>
        <w:spacing w:before="240" w:line-rule="auto"/>
        <w:ind w:firstLine="540"/>
        <w:jc w:val="both"/>
      </w:pPr>
      <w:r>
        <w:rPr>
          <w:sz w:val="24"/>
        </w:rPr>
        <w:t xml:space="preserve">7.3.4.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7.3.5. Обучающиеся из числа лиц с ограниченными возможностями здоровья должны быть обеспечены печатными и (или) электронными образовательными ресурсами в формах, адаптированных к ограничениям их здоровья.</w:t>
      </w:r>
    </w:p>
    <w:p>
      <w:pPr>
        <w:pStyle w:val="0"/>
        <w:jc w:val="both"/>
      </w:pPr>
      <w:r>
        <w:rPr>
          <w:sz w:val="24"/>
        </w:rPr>
      </w:r>
    </w:p>
    <w:p>
      <w:pPr>
        <w:pStyle w:val="0"/>
        <w:outlineLvl w:val="2"/>
        <w:ind w:firstLine="540"/>
        <w:jc w:val="both"/>
      </w:pPr>
      <w:r>
        <w:rPr>
          <w:sz w:val="24"/>
        </w:rPr>
        <w:t xml:space="preserve">7.4. Требования к финансовым условиям реализации программы ординатуры.</w:t>
      </w:r>
    </w:p>
    <w:p>
      <w:pPr>
        <w:pStyle w:val="0"/>
        <w:spacing w:before="240" w:line-rule="auto"/>
        <w:ind w:firstLine="540"/>
        <w:jc w:val="both"/>
      </w:pPr>
      <w:r>
        <w:rPr>
          <w:sz w:val="24"/>
        </w:rPr>
        <w:t xml:space="preserve">7.4.1. Финансовое обеспечение реализации программы ординатуры должно осуществляться в объеме не ниже установленных Министерством образования и науки Российской Федерации базовых нормативных затрат на оказание государственной услуги в сфере образования для данного уровня образования и специальности с учетом корректирующих коэффициентов, учитывающих специфику образовательных программ в соответствии с </w:t>
      </w:r>
      <w:hyperlink w:history="0" r:id="rId16" w:tooltip="Приказ Минобрнауки России от 02.08.2013 N 638 &quot;Об утверждении методики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quot; (Зарегистрировано в Минюсте России 16.09.2013 N 29967) ------------ Утратил силу или отменен {КонсультантПлюс}">
        <w:r>
          <w:rPr>
            <w:sz w:val="24"/>
            <w:color w:val="0000ff"/>
          </w:rPr>
          <w:t xml:space="preserve">Методикой</w:t>
        </w:r>
      </w:hyperlink>
      <w:r>
        <w:rPr>
          <w:sz w:val="24"/>
        </w:rPr>
        <w:t xml:space="preserve">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 утвержденной приказом Министерства образования и науки Российской Федерации от 2 августа 2013 г. N 638 (зарегистрирован Министерством юстиции Российской Федерации 16 сентября 2013 г., регистрационный N 29967).</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25.08.2014 N 1070</w:t>
            <w:br/>
            <w:t>"Об утверждении федерального государственного образовательного стандарта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28.04.2025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87618&amp;date=28.04.2025&amp;dst=100042&amp;field=134" TargetMode = "External"/>
	<Relationship Id="rId8" Type="http://schemas.openxmlformats.org/officeDocument/2006/relationships/hyperlink" Target="https://login.consultant.ru/link/?req=doc&amp;base=LAW&amp;n=154176&amp;date=28.04.2025&amp;dst=100009&amp;field=134" TargetMode = "External"/>
	<Relationship Id="rId9" Type="http://schemas.openxmlformats.org/officeDocument/2006/relationships/hyperlink" Target="https://login.consultant.ru/link/?req=doc&amp;base=LAW&amp;n=495182&amp;date=28.04.2025&amp;dst=101099&amp;field=134" TargetMode = "External"/>
	<Relationship Id="rId10" Type="http://schemas.openxmlformats.org/officeDocument/2006/relationships/hyperlink" Target="https://login.consultant.ru/link/?req=doc&amp;base=LAW&amp;n=495182&amp;date=28.04.2025&amp;dst=101100&amp;field=134" TargetMode = "External"/>
	<Relationship Id="rId11" Type="http://schemas.openxmlformats.org/officeDocument/2006/relationships/hyperlink" Target="https://login.consultant.ru/link/?req=doc&amp;base=LAW&amp;n=348537&amp;date=28.04.2025" TargetMode = "External"/>
	<Relationship Id="rId12" Type="http://schemas.openxmlformats.org/officeDocument/2006/relationships/hyperlink" Target="https://login.consultant.ru/link/?req=doc&amp;base=LAW&amp;n=483355&amp;date=28.04.2025" TargetMode = "External"/>
	<Relationship Id="rId13" Type="http://schemas.openxmlformats.org/officeDocument/2006/relationships/hyperlink" Target="https://login.consultant.ru/link/?req=doc&amp;base=LAW&amp;n=482686&amp;date=28.04.2025" TargetMode = "External"/>
	<Relationship Id="rId14" Type="http://schemas.openxmlformats.org/officeDocument/2006/relationships/hyperlink" Target="https://login.consultant.ru/link/?req=doc&amp;base=LAW&amp;n=440481&amp;date=28.04.2025&amp;dst=100010&amp;field=134" TargetMode = "External"/>
	<Relationship Id="rId15" Type="http://schemas.openxmlformats.org/officeDocument/2006/relationships/hyperlink" Target="https://login.consultant.ru/link/?req=doc&amp;base=LAW&amp;n=128754&amp;date=28.04.2025" TargetMode = "External"/>
	<Relationship Id="rId16" Type="http://schemas.openxmlformats.org/officeDocument/2006/relationships/hyperlink" Target="https://login.consultant.ru/link/?req=doc&amp;base=LAW&amp;n=152100&amp;date=28.04.2025&amp;dst=100012&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25.08.2014 N 1070
"Об утверждении федерального государственного образовательного стандарта высшего образования по специальности 31.08.28 Гастроэнтерология (уровень подготовки кадров высшей квалификации)"
(Зарегистрировано в Минюсте России 18.09.2014 N 34090)</dc:title>
  <dcterms:created xsi:type="dcterms:W3CDTF">2025-04-28T05:37:35Z</dcterms:created>
</cp:coreProperties>
</file>